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6E" w:rsidRPr="00F72F1F" w:rsidRDefault="00EE326E" w:rsidP="00EE326E">
      <w:pPr>
        <w:pStyle w:val="2"/>
        <w:spacing w:after="0" w:line="240" w:lineRule="auto"/>
        <w:ind w:left="4961" w:firstLine="36"/>
        <w:rPr>
          <w:szCs w:val="24"/>
        </w:rPr>
      </w:pPr>
      <w:r>
        <w:rPr>
          <w:szCs w:val="24"/>
        </w:rPr>
        <w:t xml:space="preserve"> </w:t>
      </w:r>
    </w:p>
    <w:p w:rsidR="00EE326E" w:rsidRPr="00F72F1F" w:rsidRDefault="00EE326E" w:rsidP="00EE326E">
      <w:pPr>
        <w:tabs>
          <w:tab w:val="left" w:pos="1695"/>
        </w:tabs>
        <w:spacing w:before="360" w:line="240" w:lineRule="auto"/>
        <w:jc w:val="center"/>
        <w:rPr>
          <w:b/>
          <w:szCs w:val="24"/>
        </w:rPr>
      </w:pPr>
      <w:r w:rsidRPr="00F72F1F">
        <w:rPr>
          <w:b/>
          <w:szCs w:val="24"/>
        </w:rPr>
        <w:t>Техническое задание</w:t>
      </w:r>
    </w:p>
    <w:p w:rsidR="00EE326E" w:rsidRPr="00F72F1F" w:rsidRDefault="00EE326E" w:rsidP="00EE326E">
      <w:pPr>
        <w:tabs>
          <w:tab w:val="left" w:pos="1695"/>
        </w:tabs>
        <w:spacing w:after="240" w:line="240" w:lineRule="auto"/>
        <w:jc w:val="center"/>
        <w:rPr>
          <w:szCs w:val="24"/>
        </w:rPr>
      </w:pPr>
      <w:r w:rsidRPr="00F72F1F">
        <w:rPr>
          <w:szCs w:val="24"/>
        </w:rPr>
        <w:t xml:space="preserve"> на проведение работ по лабораторно-инструментальным исследованиям в помещениях ОАО «ГК «Космос».</w:t>
      </w:r>
    </w:p>
    <w:p w:rsidR="00EE326E" w:rsidRPr="00F72F1F" w:rsidRDefault="00EE326E" w:rsidP="00EE326E">
      <w:pPr>
        <w:pStyle w:val="a3"/>
        <w:numPr>
          <w:ilvl w:val="0"/>
          <w:numId w:val="1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Цель проведения работ:</w:t>
      </w:r>
    </w:p>
    <w:p w:rsidR="00EE326E" w:rsidRPr="00F72F1F" w:rsidRDefault="00EE326E" w:rsidP="00EE326E">
      <w:pPr>
        <w:ind w:firstLine="567"/>
        <w:rPr>
          <w:szCs w:val="24"/>
        </w:rPr>
      </w:pPr>
      <w:r w:rsidRPr="00F72F1F">
        <w:rPr>
          <w:szCs w:val="24"/>
        </w:rPr>
        <w:t>Обеспечение требований Программы организации и проведении производственного контроля соблюдения санитарных правил и выполнением санитарно-противоэпидемических (профилактических) мероприятий в ОАО «ГК «Космос» в соответствии с Федеральным законом от 30.03.1999 г. № 52-ФЗ (редакция от 25.06.2012 года) «О санитарно-эпидемиологическом благополучии населения».</w:t>
      </w:r>
    </w:p>
    <w:p w:rsidR="00EE326E" w:rsidRPr="00F72F1F" w:rsidRDefault="00EE326E" w:rsidP="00EE326E">
      <w:pPr>
        <w:pStyle w:val="a3"/>
        <w:numPr>
          <w:ilvl w:val="0"/>
          <w:numId w:val="1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Место проведения работ: 129366, Россия, Москва Проспект Мира, 150</w:t>
      </w:r>
    </w:p>
    <w:p w:rsidR="00EE326E" w:rsidRPr="00F72F1F" w:rsidRDefault="00EE326E" w:rsidP="00EE326E">
      <w:pPr>
        <w:pStyle w:val="a3"/>
        <w:numPr>
          <w:ilvl w:val="0"/>
          <w:numId w:val="1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Объекты исследования:</w:t>
      </w:r>
    </w:p>
    <w:p w:rsidR="00EE326E" w:rsidRPr="00473FD9" w:rsidRDefault="00EE326E" w:rsidP="00EE326E">
      <w:pPr>
        <w:pStyle w:val="a3"/>
        <w:numPr>
          <w:ilvl w:val="1"/>
          <w:numId w:val="1"/>
        </w:numPr>
        <w:spacing w:after="200"/>
        <w:rPr>
          <w:szCs w:val="24"/>
        </w:rPr>
      </w:pPr>
      <w:r w:rsidRPr="00473FD9">
        <w:rPr>
          <w:szCs w:val="24"/>
        </w:rPr>
        <w:t xml:space="preserve"> Гостиница (номерной фонд, центральный холл, производственные помещения);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spacing w:after="200"/>
        <w:rPr>
          <w:szCs w:val="24"/>
        </w:rPr>
      </w:pPr>
      <w:r w:rsidRPr="00F72F1F">
        <w:rPr>
          <w:szCs w:val="24"/>
        </w:rPr>
        <w:t>Экспресс-стирка;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spacing w:after="200"/>
        <w:rPr>
          <w:szCs w:val="24"/>
        </w:rPr>
      </w:pPr>
      <w:r w:rsidRPr="00F72F1F">
        <w:rPr>
          <w:szCs w:val="24"/>
        </w:rPr>
        <w:t>Предприятия общественного питания: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spacing w:after="200"/>
        <w:rPr>
          <w:szCs w:val="24"/>
        </w:rPr>
      </w:pPr>
      <w:r w:rsidRPr="00F72F1F">
        <w:rPr>
          <w:szCs w:val="24"/>
        </w:rPr>
        <w:t>Кондитерский цех (в том числе кафе "Космос");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spacing w:after="200"/>
        <w:rPr>
          <w:szCs w:val="24"/>
        </w:rPr>
      </w:pPr>
      <w:r w:rsidRPr="00F72F1F">
        <w:rPr>
          <w:szCs w:val="24"/>
        </w:rPr>
        <w:t>Ресторан "Калинка" (в том числе банкетный зал "Вечерний Космос" и производство);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spacing w:after="200"/>
        <w:rPr>
          <w:szCs w:val="24"/>
        </w:rPr>
      </w:pPr>
      <w:r w:rsidRPr="00F72F1F">
        <w:rPr>
          <w:szCs w:val="24"/>
        </w:rPr>
        <w:t>Ресторан "Галактика" (с производством);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spacing w:after="200"/>
        <w:rPr>
          <w:szCs w:val="24"/>
        </w:rPr>
      </w:pPr>
      <w:r w:rsidRPr="00F72F1F">
        <w:rPr>
          <w:szCs w:val="24"/>
        </w:rPr>
        <w:t>Служебная столовая (с производством);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spacing w:after="200"/>
        <w:rPr>
          <w:szCs w:val="24"/>
        </w:rPr>
      </w:pPr>
      <w:r w:rsidRPr="00F72F1F">
        <w:rPr>
          <w:szCs w:val="24"/>
        </w:rPr>
        <w:t>Инженерные сети</w:t>
      </w:r>
      <w:r>
        <w:rPr>
          <w:szCs w:val="24"/>
        </w:rPr>
        <w:t xml:space="preserve"> (горячего и холодного водоснабжения)</w:t>
      </w:r>
      <w:r w:rsidRPr="00F72F1F">
        <w:rPr>
          <w:szCs w:val="24"/>
        </w:rPr>
        <w:t>;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spacing w:after="200"/>
        <w:rPr>
          <w:szCs w:val="24"/>
        </w:rPr>
      </w:pPr>
      <w:r w:rsidRPr="00F72F1F">
        <w:rPr>
          <w:szCs w:val="24"/>
        </w:rPr>
        <w:t>Источники ионизирующего излучения – 3 шт.</w:t>
      </w:r>
    </w:p>
    <w:p w:rsidR="00EE326E" w:rsidRPr="0097619A" w:rsidRDefault="00EE326E" w:rsidP="00EE326E">
      <w:pPr>
        <w:pStyle w:val="a3"/>
        <w:numPr>
          <w:ilvl w:val="0"/>
          <w:numId w:val="1"/>
        </w:numPr>
        <w:spacing w:after="200" w:line="240" w:lineRule="auto"/>
        <w:rPr>
          <w:szCs w:val="24"/>
        </w:rPr>
      </w:pPr>
      <w:r w:rsidRPr="0097619A">
        <w:rPr>
          <w:b/>
          <w:szCs w:val="24"/>
        </w:rPr>
        <w:t>Объем и виды работ</w:t>
      </w:r>
    </w:p>
    <w:p w:rsidR="00EE326E" w:rsidRPr="0097619A" w:rsidRDefault="00EE326E" w:rsidP="00EE326E">
      <w:pPr>
        <w:pStyle w:val="a3"/>
        <w:spacing w:after="200" w:line="240" w:lineRule="auto"/>
        <w:ind w:left="360" w:firstLine="0"/>
        <w:rPr>
          <w:szCs w:val="24"/>
        </w:rPr>
      </w:pPr>
      <w:r w:rsidRPr="0097619A">
        <w:rPr>
          <w:szCs w:val="24"/>
        </w:rPr>
        <w:t xml:space="preserve">Гостиница (центральный холл, номерной фонд, производственные помещения) </w:t>
      </w:r>
    </w:p>
    <w:tbl>
      <w:tblPr>
        <w:tblW w:w="95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9"/>
        <w:gridCol w:w="1700"/>
        <w:gridCol w:w="1417"/>
        <w:gridCol w:w="1949"/>
        <w:gridCol w:w="35"/>
      </w:tblGrid>
      <w:tr w:rsidR="00EE326E" w:rsidRPr="00F72F1F" w:rsidTr="00577455">
        <w:trPr>
          <w:gridAfter w:val="1"/>
          <w:wAfter w:w="35" w:type="dxa"/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Количество исследований в год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Объект исследования</w:t>
            </w:r>
          </w:p>
        </w:tc>
      </w:tr>
      <w:tr w:rsidR="00EE326E" w:rsidRPr="00F72F1F" w:rsidTr="00577455">
        <w:trPr>
          <w:gridAfter w:val="1"/>
          <w:wAfter w:w="35" w:type="dxa"/>
          <w:trHeight w:val="93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раза в год</w:t>
            </w:r>
          </w:p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Центральный холл, номерной фонд</w:t>
            </w:r>
          </w:p>
        </w:tc>
      </w:tr>
      <w:tr w:rsidR="00EE326E" w:rsidRPr="00F72F1F" w:rsidTr="00577455">
        <w:trPr>
          <w:gridAfter w:val="1"/>
          <w:wAfter w:w="35" w:type="dxa"/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Исследование искусственной освещенности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Центральный холл, номерной фонд</w:t>
            </w:r>
          </w:p>
        </w:tc>
      </w:tr>
      <w:tr w:rsidR="00EE326E" w:rsidRPr="00F72F1F" w:rsidTr="00577455">
        <w:trPr>
          <w:trHeight w:val="751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Подготовка протоколов  по результатам исследований</w:t>
            </w:r>
          </w:p>
        </w:tc>
        <w:tc>
          <w:tcPr>
            <w:tcW w:w="5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всем проведенным исследованиям по факту выполненных работ</w:t>
            </w:r>
          </w:p>
        </w:tc>
      </w:tr>
    </w:tbl>
    <w:p w:rsidR="00EE326E" w:rsidRPr="00F72F1F" w:rsidRDefault="00EE326E" w:rsidP="00EE326E">
      <w:pPr>
        <w:spacing w:line="240" w:lineRule="auto"/>
        <w:rPr>
          <w:b/>
          <w:szCs w:val="24"/>
        </w:rPr>
      </w:pPr>
    </w:p>
    <w:p w:rsidR="00EE326E" w:rsidRPr="00F72F1F" w:rsidRDefault="00EE326E" w:rsidP="00EE326E">
      <w:pPr>
        <w:spacing w:line="240" w:lineRule="auto"/>
        <w:rPr>
          <w:szCs w:val="24"/>
        </w:rPr>
      </w:pPr>
      <w:r w:rsidRPr="00F72F1F">
        <w:rPr>
          <w:szCs w:val="24"/>
        </w:rPr>
        <w:t>Кондитерский цех (в том числе Кафе "Космос" и производство)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2250"/>
        <w:gridCol w:w="2410"/>
      </w:tblGrid>
      <w:tr w:rsidR="00EE326E" w:rsidRPr="00F72F1F" w:rsidTr="00577455">
        <w:trPr>
          <w:trHeight w:val="2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Производственный контроль</w:t>
            </w:r>
          </w:p>
        </w:tc>
      </w:tr>
      <w:tr w:rsidR="00EE326E" w:rsidRPr="00F72F1F" w:rsidTr="00577455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Количество исследований в год</w:t>
            </w:r>
          </w:p>
        </w:tc>
      </w:tr>
      <w:tr w:rsidR="00EE326E" w:rsidRPr="00F72F1F" w:rsidTr="00577455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6</w:t>
            </w:r>
          </w:p>
        </w:tc>
      </w:tr>
      <w:tr w:rsidR="00EE326E" w:rsidRPr="00F72F1F" w:rsidTr="00577455">
        <w:trPr>
          <w:trHeight w:val="62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Исследование искусственной освещенности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раза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</w:t>
            </w:r>
          </w:p>
        </w:tc>
      </w:tr>
      <w:tr w:rsidR="00EE326E" w:rsidRPr="00F72F1F" w:rsidTr="00577455">
        <w:trPr>
          <w:trHeight w:val="52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lastRenderedPageBreak/>
              <w:t>Отбор проб (11-20)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установленному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-------</w:t>
            </w:r>
          </w:p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E326E" w:rsidRPr="00F72F1F" w:rsidTr="00577455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Микробиологическое исследование смывов на БГПК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20</w:t>
            </w:r>
          </w:p>
        </w:tc>
      </w:tr>
      <w:tr w:rsidR="00EE326E" w:rsidRPr="00F72F1F" w:rsidTr="00577455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Физико-химические исследования - кремовые изделия, выпечные изделия на органолептические 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E326E" w:rsidRPr="00F72F1F" w:rsidTr="00577455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исследования:     </w:t>
            </w:r>
            <w:r w:rsidRPr="00F72F1F">
              <w:rPr>
                <w:color w:val="FF0000"/>
                <w:sz w:val="20"/>
                <w:szCs w:val="20"/>
              </w:rPr>
              <w:t xml:space="preserve">  </w:t>
            </w:r>
          </w:p>
          <w:p w:rsidR="00EE326E" w:rsidRPr="00F72F1F" w:rsidRDefault="00EE326E" w:rsidP="00577455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 xml:space="preserve">- кремовые изделия (КМАФАнМ, БГКП, сальмонеллы, патогенный стафилококк, дрожжи и плесени); </w:t>
            </w:r>
          </w:p>
          <w:p w:rsidR="00EE326E" w:rsidRPr="00F72F1F" w:rsidRDefault="00EE326E" w:rsidP="00577455">
            <w:pPr>
              <w:spacing w:line="240" w:lineRule="auto"/>
              <w:rPr>
                <w:sz w:val="20"/>
                <w:szCs w:val="20"/>
              </w:rPr>
            </w:pPr>
          </w:p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- выпечные изделия (КМАФАнМ, БГКП, сальмонеллы, патогенный стафилококк, дрожжи и плесени, бактерии рода Протей)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6</w:t>
            </w:r>
          </w:p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6</w:t>
            </w:r>
          </w:p>
        </w:tc>
      </w:tr>
      <w:tr w:rsidR="00EE326E" w:rsidRPr="00F72F1F" w:rsidTr="00577455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Подготовка  протоколов  по результатам исследований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</w:tbl>
    <w:p w:rsidR="00EE326E" w:rsidRPr="00F72F1F" w:rsidRDefault="00EE326E" w:rsidP="00EE326E">
      <w:pPr>
        <w:spacing w:line="240" w:lineRule="auto"/>
        <w:rPr>
          <w:b/>
          <w:szCs w:val="24"/>
        </w:rPr>
      </w:pPr>
    </w:p>
    <w:p w:rsidR="00EE326E" w:rsidRPr="00F72F1F" w:rsidRDefault="00EE326E" w:rsidP="00EE326E">
      <w:pPr>
        <w:spacing w:line="240" w:lineRule="auto"/>
        <w:rPr>
          <w:szCs w:val="24"/>
        </w:rPr>
      </w:pPr>
      <w:r w:rsidRPr="00F72F1F">
        <w:rPr>
          <w:szCs w:val="24"/>
        </w:rPr>
        <w:t>Ресторан «Калинка» (в том числе банкетный зал "Вечерний Космос" и производство)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4"/>
        <w:gridCol w:w="2237"/>
        <w:gridCol w:w="14"/>
        <w:gridCol w:w="1926"/>
      </w:tblGrid>
      <w:tr w:rsidR="00EE326E" w:rsidRPr="00F72F1F" w:rsidTr="00577455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Количество исследований в год</w:t>
            </w:r>
          </w:p>
        </w:tc>
      </w:tr>
      <w:tr w:rsidR="00EE326E" w:rsidRPr="00F72F1F" w:rsidTr="00577455">
        <w:trPr>
          <w:trHeight w:val="529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Отбор проб</w:t>
            </w:r>
          </w:p>
          <w:p w:rsidR="00EE326E" w:rsidRPr="00F72F1F" w:rsidRDefault="00EE326E" w:rsidP="00577455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- 11-20 проб</w:t>
            </w:r>
          </w:p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- 1-4 проб</w:t>
            </w:r>
            <w:r w:rsidRPr="00F72F1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326E" w:rsidRPr="00F72F1F" w:rsidRDefault="00EE326E" w:rsidP="00577455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установленному графику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----------- </w:t>
            </w:r>
          </w:p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326E" w:rsidRPr="00F72F1F" w:rsidTr="00577455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Подготовка  протоколов  по результатам исследований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EE326E" w:rsidRPr="00F72F1F" w:rsidTr="00577455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6</w:t>
            </w:r>
          </w:p>
        </w:tc>
      </w:tr>
      <w:tr w:rsidR="00EE326E" w:rsidRPr="00F72F1F" w:rsidTr="00577455">
        <w:trPr>
          <w:trHeight w:val="429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Исследование искусственной освещенности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раза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</w:t>
            </w:r>
          </w:p>
        </w:tc>
      </w:tr>
      <w:tr w:rsidR="00EE326E" w:rsidRPr="00F72F1F" w:rsidTr="00577455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Микробиологическое исследование смывов на БГПК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EE326E" w:rsidRPr="00F72F1F" w:rsidTr="00577455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Физико-химические исследования - Салат мясной без заправки</w:t>
            </w:r>
          </w:p>
          <w:p w:rsidR="00EE326E" w:rsidRPr="00F72F1F" w:rsidRDefault="00EE326E" w:rsidP="00577455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26E" w:rsidRPr="00F72F1F" w:rsidTr="00577455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Физико-химические исследования - Салат овощной без заправки</w:t>
            </w:r>
          </w:p>
          <w:p w:rsidR="00EE326E" w:rsidRPr="00F72F1F" w:rsidRDefault="00EE326E" w:rsidP="00577455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26E" w:rsidRPr="00F72F1F" w:rsidTr="00577455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Физико-химические исследования – второе блюдо без гарнира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раза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26E" w:rsidRPr="00F72F1F" w:rsidTr="00577455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Микробиологические исследования - Салат мясной без заправки</w:t>
            </w:r>
          </w:p>
          <w:p w:rsidR="00EE326E" w:rsidRPr="00F72F1F" w:rsidRDefault="00EE326E" w:rsidP="00577455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 xml:space="preserve">(КМАФАнМ, БГКП, сальмонеллы, </w:t>
            </w:r>
            <w:r w:rsidRPr="00F72F1F">
              <w:rPr>
                <w:sz w:val="20"/>
                <w:szCs w:val="20"/>
                <w:lang w:val="en-US"/>
              </w:rPr>
              <w:t>E</w:t>
            </w:r>
            <w:r w:rsidRPr="00F72F1F">
              <w:rPr>
                <w:sz w:val="20"/>
                <w:szCs w:val="20"/>
              </w:rPr>
              <w:t>.</w:t>
            </w:r>
            <w:r w:rsidRPr="00F72F1F">
              <w:rPr>
                <w:sz w:val="20"/>
                <w:szCs w:val="20"/>
                <w:lang w:val="en-US"/>
              </w:rPr>
              <w:t>coli</w:t>
            </w:r>
            <w:r w:rsidRPr="00F72F1F">
              <w:rPr>
                <w:sz w:val="20"/>
                <w:szCs w:val="20"/>
              </w:rPr>
              <w:t>, бактерии рода Протей)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326E" w:rsidRPr="00F72F1F" w:rsidTr="00577455">
        <w:trPr>
          <w:trHeight w:val="861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Салат овощной из варенных овощей без заправки </w:t>
            </w:r>
            <w:r w:rsidRPr="00F72F1F">
              <w:rPr>
                <w:sz w:val="20"/>
                <w:szCs w:val="20"/>
              </w:rPr>
              <w:t>(КМАФАнМ, БГКП, сальмонеллы, патогенный стафилококк, бактерии рода Протей)</w:t>
            </w:r>
          </w:p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Салат овощной из сырых  овощей без заправки </w:t>
            </w:r>
            <w:r w:rsidRPr="00F72F1F">
              <w:rPr>
                <w:sz w:val="20"/>
                <w:szCs w:val="20"/>
              </w:rPr>
              <w:t xml:space="preserve">(КМАФАнМ, БГКП, сальмонеллы, патогенный стафилококк, листерии, </w:t>
            </w:r>
            <w:r w:rsidRPr="00F72F1F">
              <w:rPr>
                <w:sz w:val="20"/>
                <w:szCs w:val="20"/>
                <w:lang w:val="en-US"/>
              </w:rPr>
              <w:t>E</w:t>
            </w:r>
            <w:r w:rsidRPr="00F72F1F">
              <w:rPr>
                <w:sz w:val="20"/>
                <w:szCs w:val="20"/>
              </w:rPr>
              <w:t>.</w:t>
            </w:r>
            <w:r w:rsidRPr="00F72F1F">
              <w:rPr>
                <w:sz w:val="20"/>
                <w:szCs w:val="20"/>
                <w:lang w:val="en-US"/>
              </w:rPr>
              <w:t>coli</w:t>
            </w:r>
            <w:r w:rsidRPr="00F72F1F"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</w:t>
            </w:r>
          </w:p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</w:t>
            </w:r>
          </w:p>
        </w:tc>
      </w:tr>
      <w:tr w:rsidR="00EE326E" w:rsidRPr="00F72F1F" w:rsidTr="00577455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второе блюдо без гарнира </w:t>
            </w:r>
            <w:r w:rsidRPr="00F72F1F">
              <w:rPr>
                <w:sz w:val="20"/>
                <w:szCs w:val="20"/>
              </w:rPr>
              <w:t>(КМАФАнМ, БГКП, сальмонеллы, патогенный стафилококк, бактерии рода Протей)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326E" w:rsidRPr="00F72F1F" w:rsidTr="00577455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Инструментальное исследование и оценка постоянного и непостоянного шума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EE326E" w:rsidRPr="00F72F1F" w:rsidRDefault="00EE326E" w:rsidP="00EE326E">
      <w:pPr>
        <w:spacing w:line="240" w:lineRule="auto"/>
        <w:rPr>
          <w:b/>
          <w:szCs w:val="24"/>
        </w:rPr>
      </w:pPr>
    </w:p>
    <w:p w:rsidR="00EE326E" w:rsidRPr="00F72F1F" w:rsidRDefault="00EE326E" w:rsidP="00EE326E">
      <w:pPr>
        <w:spacing w:line="240" w:lineRule="auto"/>
        <w:rPr>
          <w:szCs w:val="24"/>
        </w:rPr>
      </w:pPr>
      <w:r w:rsidRPr="00F72F1F">
        <w:rPr>
          <w:szCs w:val="24"/>
        </w:rPr>
        <w:t xml:space="preserve">Ресторан «Галактика» 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2250"/>
        <w:gridCol w:w="2268"/>
      </w:tblGrid>
      <w:tr w:rsidR="00EE326E" w:rsidRPr="00F72F1F" w:rsidTr="00577455">
        <w:trPr>
          <w:trHeight w:val="2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Производственный контроль</w:t>
            </w:r>
          </w:p>
        </w:tc>
      </w:tr>
      <w:tr w:rsidR="00EE326E" w:rsidRPr="00F72F1F" w:rsidTr="00577455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Количество исследований в год</w:t>
            </w:r>
          </w:p>
        </w:tc>
      </w:tr>
      <w:tr w:rsidR="00EE326E" w:rsidRPr="00F72F1F" w:rsidTr="00577455">
        <w:trPr>
          <w:trHeight w:val="529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Отбор проб:</w:t>
            </w:r>
          </w:p>
          <w:p w:rsidR="00EE326E" w:rsidRPr="00F72F1F" w:rsidRDefault="00EE326E" w:rsidP="00577455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- 11-20 проб</w:t>
            </w:r>
          </w:p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- 1-4 проб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установленному графику</w:t>
            </w:r>
          </w:p>
        </w:tc>
      </w:tr>
      <w:tr w:rsidR="00EE326E" w:rsidRPr="00F72F1F" w:rsidTr="00577455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Подготовка  протоколов  по результатам исследований 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EE326E" w:rsidRPr="00F72F1F" w:rsidTr="00577455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6</w:t>
            </w:r>
          </w:p>
        </w:tc>
      </w:tr>
      <w:tr w:rsidR="00EE326E" w:rsidRPr="00F72F1F" w:rsidTr="00577455">
        <w:trPr>
          <w:trHeight w:val="525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Исследование искусственной освещенности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</w:t>
            </w:r>
          </w:p>
        </w:tc>
      </w:tr>
      <w:tr w:rsidR="00EE326E" w:rsidRPr="00F72F1F" w:rsidTr="00577455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Микробиологическое исследование смывов на БГПК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EE326E" w:rsidRPr="00F72F1F" w:rsidTr="00577455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Физико-химические исследования - Салат мясной без заправки </w:t>
            </w:r>
            <w:r w:rsidRPr="00F72F1F">
              <w:rPr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26E" w:rsidRPr="00F72F1F" w:rsidTr="00577455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Физико-химические исследования - Салат овощной без заправки </w:t>
            </w:r>
            <w:r w:rsidRPr="00F72F1F">
              <w:rPr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26E" w:rsidRPr="00F72F1F" w:rsidTr="00577455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Физико-химические исследования - Кулинарные изделия</w:t>
            </w:r>
          </w:p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26E" w:rsidRPr="00F72F1F" w:rsidTr="00577455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Салат мясной без заправки </w:t>
            </w:r>
            <w:r w:rsidRPr="00F72F1F">
              <w:rPr>
                <w:sz w:val="20"/>
                <w:szCs w:val="20"/>
              </w:rPr>
              <w:t xml:space="preserve">(КМАФАнМ, БГКП, сальмонеллы, </w:t>
            </w:r>
            <w:r w:rsidRPr="00F72F1F">
              <w:rPr>
                <w:sz w:val="20"/>
                <w:szCs w:val="20"/>
                <w:lang w:val="en-US"/>
              </w:rPr>
              <w:t>E</w:t>
            </w:r>
            <w:r w:rsidRPr="00F72F1F">
              <w:rPr>
                <w:sz w:val="20"/>
                <w:szCs w:val="20"/>
              </w:rPr>
              <w:t>.</w:t>
            </w:r>
            <w:r w:rsidRPr="00F72F1F">
              <w:rPr>
                <w:sz w:val="20"/>
                <w:szCs w:val="20"/>
                <w:lang w:val="en-US"/>
              </w:rPr>
              <w:t>coli</w:t>
            </w:r>
            <w:r w:rsidRPr="00F72F1F">
              <w:rPr>
                <w:sz w:val="20"/>
                <w:szCs w:val="20"/>
              </w:rPr>
              <w:t>, бактерии рода Протей)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326E" w:rsidRPr="00F72F1F" w:rsidTr="00577455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Салат овощной из вареных овощей без заправки </w:t>
            </w:r>
            <w:r w:rsidRPr="00F72F1F">
              <w:rPr>
                <w:sz w:val="20"/>
                <w:szCs w:val="20"/>
              </w:rPr>
              <w:t>(КМАФАнМ, БГКП, сальмонеллы, патогенный стафилококк, бактерии рода Протей)</w:t>
            </w:r>
          </w:p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Салат овощной из сырых овощей без заправки </w:t>
            </w:r>
            <w:r w:rsidRPr="00F72F1F">
              <w:rPr>
                <w:sz w:val="20"/>
                <w:szCs w:val="20"/>
              </w:rPr>
              <w:t xml:space="preserve">(КМАФАнМ, БГКП, сальмонеллы, патогенный стафилококк, листерии, </w:t>
            </w:r>
            <w:r w:rsidRPr="00F72F1F">
              <w:rPr>
                <w:sz w:val="20"/>
                <w:szCs w:val="20"/>
                <w:lang w:val="en-US"/>
              </w:rPr>
              <w:t>E</w:t>
            </w:r>
            <w:r w:rsidRPr="00F72F1F">
              <w:rPr>
                <w:sz w:val="20"/>
                <w:szCs w:val="20"/>
              </w:rPr>
              <w:t>.</w:t>
            </w:r>
            <w:r w:rsidRPr="00F72F1F">
              <w:rPr>
                <w:sz w:val="20"/>
                <w:szCs w:val="20"/>
                <w:lang w:val="en-US"/>
              </w:rPr>
              <w:t>coli</w:t>
            </w:r>
            <w:r w:rsidRPr="00F72F1F">
              <w:rPr>
                <w:sz w:val="20"/>
                <w:szCs w:val="20"/>
              </w:rPr>
              <w:t xml:space="preserve"> 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</w:t>
            </w:r>
          </w:p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</w:t>
            </w:r>
          </w:p>
        </w:tc>
      </w:tr>
      <w:tr w:rsidR="00EE326E" w:rsidRPr="00F72F1F" w:rsidTr="00577455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второе блюдо без гарнира </w:t>
            </w:r>
            <w:r w:rsidRPr="00F72F1F">
              <w:rPr>
                <w:sz w:val="20"/>
                <w:szCs w:val="20"/>
              </w:rPr>
              <w:t>(КМАФАнМ, БГКП, сальмонеллы, патогенный стафилококк, бактерии рода Протей)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326E" w:rsidRPr="00F72F1F" w:rsidTr="00577455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Инструментальное исследование и оценка постоянного и непостоянного шума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EE326E" w:rsidRPr="00F72F1F" w:rsidRDefault="00EE326E" w:rsidP="00EE326E">
      <w:pPr>
        <w:spacing w:line="240" w:lineRule="auto"/>
        <w:rPr>
          <w:szCs w:val="24"/>
        </w:rPr>
      </w:pPr>
    </w:p>
    <w:p w:rsidR="00EE326E" w:rsidRPr="00F72F1F" w:rsidRDefault="00EE326E" w:rsidP="00EE326E">
      <w:pPr>
        <w:spacing w:line="240" w:lineRule="auto"/>
        <w:rPr>
          <w:szCs w:val="24"/>
        </w:rPr>
      </w:pPr>
      <w:r w:rsidRPr="00F72F1F">
        <w:rPr>
          <w:szCs w:val="24"/>
        </w:rPr>
        <w:t>Служебная столовая ОАО «ГК «Космос»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2250"/>
        <w:gridCol w:w="2268"/>
      </w:tblGrid>
      <w:tr w:rsidR="00EE326E" w:rsidRPr="00F72F1F" w:rsidTr="00577455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Количество исследований в год</w:t>
            </w:r>
          </w:p>
        </w:tc>
      </w:tr>
      <w:tr w:rsidR="00EE326E" w:rsidRPr="00F72F1F" w:rsidTr="00577455">
        <w:trPr>
          <w:trHeight w:val="52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Отбор проб:</w:t>
            </w:r>
          </w:p>
          <w:p w:rsidR="00EE326E" w:rsidRPr="00F72F1F" w:rsidRDefault="00EE326E" w:rsidP="00577455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- 11-20 проб</w:t>
            </w:r>
          </w:p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- 1-4 проб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установленному графику</w:t>
            </w:r>
          </w:p>
        </w:tc>
      </w:tr>
      <w:tr w:rsidR="00EE326E" w:rsidRPr="00F72F1F" w:rsidTr="00577455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26E" w:rsidRPr="00F72F1F" w:rsidRDefault="00EE326E" w:rsidP="0057745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Подготовка протоколов  по результатам исследований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EE326E" w:rsidRPr="00F72F1F" w:rsidTr="00577455">
        <w:trPr>
          <w:trHeight w:val="12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6</w:t>
            </w:r>
          </w:p>
        </w:tc>
      </w:tr>
      <w:tr w:rsidR="00EE326E" w:rsidRPr="00F72F1F" w:rsidTr="00577455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Исследование искусственной освещенности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</w:t>
            </w:r>
          </w:p>
        </w:tc>
      </w:tr>
      <w:tr w:rsidR="00EE326E" w:rsidRPr="00F72F1F" w:rsidTr="00577455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Микробиологическое исследование смывов на БГПК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20</w:t>
            </w:r>
          </w:p>
        </w:tc>
      </w:tr>
      <w:tr w:rsidR="00EE326E" w:rsidRPr="00F72F1F" w:rsidTr="00577455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lastRenderedPageBreak/>
              <w:t xml:space="preserve">Физико-химические исследования - Салат мясной без заправки </w:t>
            </w:r>
            <w:r w:rsidRPr="00F72F1F">
              <w:rPr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26E" w:rsidRPr="00F72F1F" w:rsidTr="00577455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Физико-химические исследования - Салат овощной без заправки </w:t>
            </w:r>
            <w:r w:rsidRPr="00F72F1F">
              <w:rPr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26E" w:rsidRPr="00F72F1F" w:rsidTr="00577455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Физико-химические исследования - второе блюдо без гарнира </w:t>
            </w:r>
            <w:r w:rsidRPr="00F72F1F">
              <w:rPr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26E" w:rsidRPr="00F72F1F" w:rsidTr="00577455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Салат мясной без заправки </w:t>
            </w:r>
            <w:r w:rsidRPr="00F72F1F">
              <w:rPr>
                <w:sz w:val="20"/>
                <w:szCs w:val="20"/>
              </w:rPr>
              <w:t xml:space="preserve">(КМАФАнМ, БГКП, сальмонеллы, </w:t>
            </w:r>
            <w:r w:rsidRPr="00F72F1F">
              <w:rPr>
                <w:sz w:val="20"/>
                <w:szCs w:val="20"/>
                <w:lang w:val="en-US"/>
              </w:rPr>
              <w:t>E</w:t>
            </w:r>
            <w:r w:rsidRPr="00F72F1F">
              <w:rPr>
                <w:sz w:val="20"/>
                <w:szCs w:val="20"/>
              </w:rPr>
              <w:t>.</w:t>
            </w:r>
            <w:r w:rsidRPr="00F72F1F">
              <w:rPr>
                <w:sz w:val="20"/>
                <w:szCs w:val="20"/>
                <w:lang w:val="en-US"/>
              </w:rPr>
              <w:t>coli</w:t>
            </w:r>
            <w:r w:rsidRPr="00F72F1F">
              <w:rPr>
                <w:sz w:val="20"/>
                <w:szCs w:val="20"/>
              </w:rPr>
              <w:t>, бактерии рода Протей)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326E" w:rsidRPr="00F72F1F" w:rsidTr="00577455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Салат овощной из вареных овощей без заправки </w:t>
            </w:r>
            <w:r w:rsidRPr="00F72F1F">
              <w:rPr>
                <w:sz w:val="20"/>
                <w:szCs w:val="20"/>
              </w:rPr>
              <w:t>(КМАФАнМ, БГКП, сальмонеллы, патогенный стафилококк, бактерии рода Протей)</w:t>
            </w:r>
          </w:p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Салат овощной из сырых овощей без заправки </w:t>
            </w:r>
            <w:r w:rsidRPr="00F72F1F">
              <w:rPr>
                <w:sz w:val="20"/>
                <w:szCs w:val="20"/>
              </w:rPr>
              <w:t xml:space="preserve">(КМАФАнМ, БГКП, сальмонеллы, патогенный стафилококк, листерии, </w:t>
            </w:r>
            <w:r w:rsidRPr="00F72F1F">
              <w:rPr>
                <w:sz w:val="20"/>
                <w:szCs w:val="20"/>
                <w:lang w:val="en-US"/>
              </w:rPr>
              <w:t>E</w:t>
            </w:r>
            <w:r w:rsidRPr="00F72F1F">
              <w:rPr>
                <w:sz w:val="20"/>
                <w:szCs w:val="20"/>
              </w:rPr>
              <w:t>.</w:t>
            </w:r>
            <w:r w:rsidRPr="00F72F1F">
              <w:rPr>
                <w:sz w:val="20"/>
                <w:szCs w:val="20"/>
                <w:lang w:val="en-US"/>
              </w:rPr>
              <w:t>coli</w:t>
            </w:r>
            <w:r w:rsidRPr="00F72F1F">
              <w:rPr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</w:t>
            </w:r>
          </w:p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</w:t>
            </w:r>
          </w:p>
        </w:tc>
      </w:tr>
      <w:tr w:rsidR="00EE326E" w:rsidRPr="00F72F1F" w:rsidTr="00577455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второе блюдо без гарнира </w:t>
            </w:r>
            <w:r w:rsidRPr="00F72F1F">
              <w:rPr>
                <w:sz w:val="20"/>
                <w:szCs w:val="20"/>
              </w:rPr>
              <w:t>(КМАФАнМ, БГКП, сальмонеллы, патогенный стафилококк, бактерии рода Протей)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326E" w:rsidRPr="00F72F1F" w:rsidTr="00577455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Инструментальное исследование и оценка постоянного и непостоянного шума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EE326E" w:rsidRPr="00F72F1F" w:rsidRDefault="00EE326E" w:rsidP="00EE326E">
      <w:pPr>
        <w:rPr>
          <w:szCs w:val="24"/>
        </w:rPr>
      </w:pPr>
    </w:p>
    <w:p w:rsidR="00EE326E" w:rsidRPr="00F72F1F" w:rsidRDefault="00EE326E" w:rsidP="00EE326E">
      <w:pPr>
        <w:rPr>
          <w:szCs w:val="24"/>
        </w:rPr>
      </w:pPr>
      <w:r w:rsidRPr="00F72F1F">
        <w:rPr>
          <w:szCs w:val="24"/>
        </w:rPr>
        <w:t>Экспресс стирка</w:t>
      </w:r>
    </w:p>
    <w:tbl>
      <w:tblPr>
        <w:tblW w:w="9375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"/>
        <w:gridCol w:w="5389"/>
        <w:gridCol w:w="1702"/>
        <w:gridCol w:w="2269"/>
      </w:tblGrid>
      <w:tr w:rsidR="00EE326E" w:rsidRPr="00F72F1F" w:rsidTr="00577455">
        <w:trPr>
          <w:gridBefore w:val="1"/>
          <w:wBefore w:w="15" w:type="dxa"/>
          <w:trHeight w:val="361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F72F1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Количество исследований в год</w:t>
            </w:r>
          </w:p>
        </w:tc>
      </w:tr>
      <w:tr w:rsidR="00EE326E" w:rsidRPr="00F72F1F" w:rsidTr="00577455">
        <w:trPr>
          <w:trHeight w:val="529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Отбор проб:</w:t>
            </w:r>
          </w:p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- 20 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установленному графику</w:t>
            </w:r>
          </w:p>
        </w:tc>
      </w:tr>
      <w:tr w:rsidR="00EE326E" w:rsidRPr="00F72F1F" w:rsidTr="00577455">
        <w:trPr>
          <w:trHeight w:val="20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Подготовка протоколов  по результатам исследований 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EE326E" w:rsidRPr="00F72F1F" w:rsidTr="00577455">
        <w:trPr>
          <w:gridBefore w:val="1"/>
          <w:wBefore w:w="15" w:type="dxa"/>
          <w:trHeight w:val="331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Инструментальные  исследования  и оценка  параметров микроклимата ( температуры воздуха, относительной влажности , скорости движения воздуха) за 1 рабочее место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2 раза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8</w:t>
            </w:r>
          </w:p>
        </w:tc>
      </w:tr>
      <w:tr w:rsidR="00EE326E" w:rsidRPr="00F72F1F" w:rsidTr="00577455">
        <w:trPr>
          <w:gridBefore w:val="1"/>
          <w:wBefore w:w="15" w:type="dxa"/>
          <w:trHeight w:val="230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Исследование световой среды в 1 точке освещенность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1 раз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4</w:t>
            </w:r>
          </w:p>
        </w:tc>
      </w:tr>
      <w:tr w:rsidR="00EE326E" w:rsidRPr="00F72F1F" w:rsidTr="00577455">
        <w:trPr>
          <w:gridBefore w:val="1"/>
          <w:wBefore w:w="15" w:type="dxa"/>
          <w:trHeight w:val="296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Исследование воздуха гравиметрическим методом – пыль, взвешен. в-</w:t>
            </w:r>
            <w:proofErr w:type="spellStart"/>
            <w:r w:rsidRPr="00F72F1F">
              <w:rPr>
                <w:sz w:val="20"/>
                <w:szCs w:val="20"/>
              </w:rPr>
              <w:t>ва</w:t>
            </w:r>
            <w:proofErr w:type="spellEnd"/>
            <w:r w:rsidRPr="00F72F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1 раз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5</w:t>
            </w:r>
          </w:p>
        </w:tc>
      </w:tr>
      <w:tr w:rsidR="00EE326E" w:rsidRPr="00F72F1F" w:rsidTr="00577455">
        <w:trPr>
          <w:gridBefore w:val="1"/>
          <w:wBefore w:w="15" w:type="dxa"/>
          <w:trHeight w:val="296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Микробиологическое исследование смывов на БГПК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26E" w:rsidRPr="00F72F1F" w:rsidRDefault="00EE326E" w:rsidP="00577455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20</w:t>
            </w:r>
          </w:p>
        </w:tc>
      </w:tr>
      <w:tr w:rsidR="00EE326E" w:rsidRPr="00F72F1F" w:rsidTr="00577455">
        <w:trPr>
          <w:gridBefore w:val="1"/>
          <w:wBefore w:w="15" w:type="dxa"/>
          <w:trHeight w:val="296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 xml:space="preserve">Инструментальное исследование и оценка постоянного и непостоянного шума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1 раз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2</w:t>
            </w:r>
          </w:p>
        </w:tc>
      </w:tr>
      <w:tr w:rsidR="00EE326E" w:rsidRPr="00F72F1F" w:rsidTr="00577455">
        <w:trPr>
          <w:gridBefore w:val="1"/>
          <w:wBefore w:w="15" w:type="dxa"/>
          <w:trHeight w:val="296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Инструментальное исследование и оценка  общей  вибрации за 1 источник, рабочие место, помещение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1 раз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2</w:t>
            </w:r>
          </w:p>
        </w:tc>
      </w:tr>
    </w:tbl>
    <w:p w:rsidR="00EE326E" w:rsidRPr="00F72F1F" w:rsidRDefault="00EE326E" w:rsidP="00EE326E">
      <w:pPr>
        <w:rPr>
          <w:szCs w:val="24"/>
        </w:rPr>
      </w:pPr>
    </w:p>
    <w:p w:rsidR="00EE326E" w:rsidRPr="00F72F1F" w:rsidRDefault="00EE326E" w:rsidP="00EE326E">
      <w:pPr>
        <w:rPr>
          <w:szCs w:val="24"/>
        </w:rPr>
      </w:pPr>
      <w:r w:rsidRPr="00F72F1F">
        <w:rPr>
          <w:szCs w:val="24"/>
        </w:rPr>
        <w:t>Инженерные сети</w:t>
      </w:r>
    </w:p>
    <w:tbl>
      <w:tblPr>
        <w:tblW w:w="9375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"/>
        <w:gridCol w:w="5387"/>
        <w:gridCol w:w="1985"/>
        <w:gridCol w:w="1988"/>
      </w:tblGrid>
      <w:tr w:rsidR="00EE326E" w:rsidRPr="00F72F1F" w:rsidTr="00577455">
        <w:trPr>
          <w:gridBefore w:val="1"/>
          <w:wBefore w:w="15" w:type="dxa"/>
          <w:trHeight w:val="36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Количество исследований в год</w:t>
            </w:r>
          </w:p>
        </w:tc>
      </w:tr>
      <w:tr w:rsidR="00EE326E" w:rsidRPr="00F72F1F" w:rsidTr="00577455">
        <w:trPr>
          <w:trHeight w:val="52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Отбор проб:</w:t>
            </w:r>
          </w:p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- 5-7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установленному графику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---------------</w:t>
            </w:r>
          </w:p>
        </w:tc>
      </w:tr>
      <w:tr w:rsidR="00EE326E" w:rsidRPr="00F72F1F" w:rsidTr="00577455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Подготовка  протоколов  по результатам исследований 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EE326E" w:rsidRPr="00F72F1F" w:rsidTr="00577455">
        <w:trPr>
          <w:trHeight w:val="66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lastRenderedPageBreak/>
              <w:t>Санитарно-гигиенические исследования водопроводной холодной воды: запах, привкус, мутность, общее железо – гостиница (номерной фонд, производственные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E326E" w:rsidRPr="00F72F1F" w:rsidTr="00577455">
        <w:trPr>
          <w:trHeight w:val="66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Санитарно-гигиенические исследования водопроводной холодной воды: запах, привкус, мутность, общее железо – предприятия общественного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8</w:t>
            </w:r>
          </w:p>
        </w:tc>
      </w:tr>
      <w:tr w:rsidR="00EE326E" w:rsidRPr="00F72F1F" w:rsidTr="00577455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Микробиологические исследования холодной воды (ОМЧ, общие коллиформные бактерии, термотолерантные коллиформные бактерии, клостридии) -- гостиница (номерной фонд, производственные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326E" w:rsidRPr="00F72F1F" w:rsidTr="00577455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Микробиологические исследования холодной воды (ОМЧ, общие коллиформные бактерии, термотолерантные коллиформные бактерии, клостридии) – предприятия общественного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16</w:t>
            </w:r>
          </w:p>
        </w:tc>
      </w:tr>
      <w:tr w:rsidR="00EE326E" w:rsidRPr="00F72F1F" w:rsidTr="00577455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Микробиологические исследования горячей воды (ОМЧ, общие коллиформные бактерии, термотолерантные коллиформные бактерии, на легионеллез) – гостиница (номерной фонд, производственные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4</w:t>
            </w:r>
          </w:p>
        </w:tc>
      </w:tr>
      <w:tr w:rsidR="00EE326E" w:rsidRPr="00F72F1F" w:rsidTr="00577455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Микробиологические исследования горячей воды (ОМЧ, общие коллиформные бактерии, термотолерантные коллиформные бактерии, на легионеллез) – предприятия общественного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16</w:t>
            </w:r>
          </w:p>
        </w:tc>
      </w:tr>
      <w:tr w:rsidR="00EE326E" w:rsidRPr="00F72F1F" w:rsidTr="00577455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Измерение температуры горячей воды -- гостиница (номерной фонд, производственные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24</w:t>
            </w:r>
          </w:p>
        </w:tc>
      </w:tr>
    </w:tbl>
    <w:p w:rsidR="00EE326E" w:rsidRPr="00F72F1F" w:rsidRDefault="00EE326E" w:rsidP="00EE326E">
      <w:pPr>
        <w:rPr>
          <w:szCs w:val="24"/>
        </w:rPr>
      </w:pPr>
    </w:p>
    <w:p w:rsidR="00EE326E" w:rsidRPr="00F72F1F" w:rsidRDefault="00EE326E" w:rsidP="00EE326E">
      <w:pPr>
        <w:rPr>
          <w:szCs w:val="24"/>
        </w:rPr>
      </w:pPr>
      <w:r w:rsidRPr="00F72F1F">
        <w:rPr>
          <w:szCs w:val="24"/>
        </w:rPr>
        <w:t>Источники ионизирующего излучения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87"/>
        <w:gridCol w:w="1560"/>
        <w:gridCol w:w="74"/>
        <w:gridCol w:w="1985"/>
        <w:gridCol w:w="68"/>
        <w:gridCol w:w="1918"/>
        <w:gridCol w:w="68"/>
      </w:tblGrid>
      <w:tr w:rsidR="00EE326E" w:rsidRPr="00F72F1F" w:rsidTr="00577455">
        <w:trPr>
          <w:trHeight w:val="361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E326E" w:rsidRPr="00F72F1F" w:rsidRDefault="00EE326E" w:rsidP="005774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Количество исследований в год</w:t>
            </w:r>
          </w:p>
        </w:tc>
      </w:tr>
      <w:tr w:rsidR="00EE326E" w:rsidRPr="00F72F1F" w:rsidTr="00577455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26E" w:rsidRPr="00F72F1F" w:rsidRDefault="00EE326E" w:rsidP="0057745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Подготовка заключения/протоколов  по результатам исследований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EE326E" w:rsidRPr="00F72F1F" w:rsidTr="00577455">
        <w:trPr>
          <w:gridAfter w:val="1"/>
          <w:wAfter w:w="68" w:type="dxa"/>
          <w:trHeight w:val="20"/>
        </w:trPr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Индивидуальный дозиметрический контроль персонала группы А – съем показателей индивидуальных термолюминесцентных дозиметров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E326E" w:rsidRPr="00F72F1F" w:rsidTr="00577455">
        <w:trPr>
          <w:gridAfter w:val="1"/>
          <w:wAfter w:w="68" w:type="dxa"/>
          <w:trHeight w:val="20"/>
        </w:trPr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Контроль мощности рентгеновского излучения на рабочих местах персонала и на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</w:t>
            </w:r>
          </w:p>
        </w:tc>
      </w:tr>
      <w:tr w:rsidR="00EE326E" w:rsidRPr="00F72F1F" w:rsidTr="00577455">
        <w:trPr>
          <w:gridAfter w:val="1"/>
          <w:wAfter w:w="68" w:type="dxa"/>
          <w:trHeight w:val="20"/>
        </w:trPr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Контроль состояния защитной эффективности передвижных и индивидуальных средств защиты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26E" w:rsidRPr="00F72F1F" w:rsidRDefault="00EE326E" w:rsidP="0057745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EE326E" w:rsidRPr="00F72F1F" w:rsidRDefault="00EE326E" w:rsidP="00EE326E">
      <w:pPr>
        <w:rPr>
          <w:b/>
          <w:szCs w:val="24"/>
        </w:rPr>
      </w:pPr>
    </w:p>
    <w:p w:rsidR="00EE326E" w:rsidRPr="00F72F1F" w:rsidRDefault="00EE326E" w:rsidP="00EE326E">
      <w:pPr>
        <w:pStyle w:val="a3"/>
        <w:numPr>
          <w:ilvl w:val="0"/>
          <w:numId w:val="1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Условия закупки.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Общие требования к Исполнителю.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spacing w:after="200"/>
        <w:rPr>
          <w:szCs w:val="24"/>
        </w:rPr>
      </w:pPr>
      <w:r w:rsidRPr="00F72F1F">
        <w:rPr>
          <w:szCs w:val="24"/>
        </w:rPr>
        <w:t xml:space="preserve">Основной вид деятельности Исполнителя должен соответствовать предмету закупки. Исполнитель должен обладать профессиональной компетентностью, иметь подтверждение профессионального опыта и навыков работы в сфере, относящейся к предмету закупки. Опыт работы на рынке г. Москвы не менее 3-х лет. 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spacing w:after="200"/>
        <w:rPr>
          <w:szCs w:val="24"/>
        </w:rPr>
      </w:pPr>
      <w:r w:rsidRPr="00F72F1F">
        <w:rPr>
          <w:szCs w:val="24"/>
        </w:rPr>
        <w:t>Исполнитель должен 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spacing w:after="200"/>
        <w:rPr>
          <w:szCs w:val="24"/>
        </w:rPr>
      </w:pPr>
      <w:r w:rsidRPr="00F72F1F">
        <w:rPr>
          <w:szCs w:val="24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приостановлена.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spacing w:after="200"/>
        <w:rPr>
          <w:szCs w:val="24"/>
        </w:rPr>
      </w:pPr>
      <w:r w:rsidRPr="00F72F1F">
        <w:rPr>
          <w:szCs w:val="24"/>
        </w:rPr>
        <w:lastRenderedPageBreak/>
        <w:t>Исполнитель должен иметь все необходимые Лицензии, иные разрешительные документы (в том числе Аттестат аккредитации. Область аккредитации включает в качестве объекта контроля параметры по требуемым характеристикам), необходимые для осуществления заявленных работ в полном соответствии с действующим законодательством РФ (либо действующие на весь срок выполнения договоры с организациями, имеющими всю необходимую разрешительную документацию).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spacing w:after="200"/>
        <w:rPr>
          <w:szCs w:val="24"/>
        </w:rPr>
      </w:pPr>
      <w:r w:rsidRPr="00F72F1F">
        <w:rPr>
          <w:szCs w:val="24"/>
        </w:rPr>
        <w:t>Исполнитель должен иметь все необходимые материально-технические ресурсы в объеме, достаточном для качественного выполнения заявленных работ.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spacing w:after="200"/>
        <w:rPr>
          <w:szCs w:val="24"/>
        </w:rPr>
      </w:pPr>
      <w:r w:rsidRPr="00F72F1F">
        <w:rPr>
          <w:szCs w:val="24"/>
        </w:rPr>
        <w:t>Персонал Исполнителя должен быть аттестован в соответствии с требованиями законодательства РФ.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Специальные требования к Исполнителю.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spacing w:before="240"/>
        <w:ind w:left="1225" w:hanging="505"/>
        <w:rPr>
          <w:szCs w:val="24"/>
        </w:rPr>
      </w:pPr>
      <w:r w:rsidRPr="00F72F1F">
        <w:rPr>
          <w:szCs w:val="24"/>
        </w:rPr>
        <w:t>Исполнитель самостоятельно обеспечивает:</w:t>
      </w:r>
    </w:p>
    <w:p w:rsidR="00EE326E" w:rsidRPr="00F72F1F" w:rsidRDefault="00EE326E" w:rsidP="00EE326E">
      <w:pPr>
        <w:widowControl w:val="0"/>
        <w:numPr>
          <w:ilvl w:val="0"/>
          <w:numId w:val="2"/>
        </w:numPr>
        <w:tabs>
          <w:tab w:val="num" w:pos="567"/>
        </w:tabs>
        <w:suppressAutoHyphens/>
        <w:autoSpaceDE w:val="0"/>
        <w:autoSpaceDN w:val="0"/>
        <w:adjustRightInd w:val="0"/>
        <w:spacing w:line="240" w:lineRule="auto"/>
        <w:ind w:right="-2"/>
        <w:rPr>
          <w:rFonts w:eastAsia="Times New Roman" w:cs="Courier New"/>
          <w:szCs w:val="24"/>
          <w:lang w:eastAsia="ru-RU"/>
        </w:rPr>
      </w:pPr>
      <w:r w:rsidRPr="00F72F1F">
        <w:rPr>
          <w:rFonts w:eastAsia="Times New Roman" w:cs="Courier New"/>
          <w:szCs w:val="24"/>
          <w:lang w:eastAsia="ru-RU"/>
        </w:rPr>
        <w:t>наличие всей необходимой для качественного выполнения Работ разрешительной документации.</w:t>
      </w:r>
    </w:p>
    <w:p w:rsidR="00EE326E" w:rsidRPr="00F72F1F" w:rsidRDefault="00EE326E" w:rsidP="00EE326E">
      <w:pPr>
        <w:widowControl w:val="0"/>
        <w:numPr>
          <w:ilvl w:val="0"/>
          <w:numId w:val="2"/>
        </w:numPr>
        <w:tabs>
          <w:tab w:val="num" w:pos="567"/>
        </w:tabs>
        <w:suppressAutoHyphens/>
        <w:autoSpaceDE w:val="0"/>
        <w:autoSpaceDN w:val="0"/>
        <w:adjustRightInd w:val="0"/>
        <w:spacing w:line="240" w:lineRule="auto"/>
        <w:ind w:right="-2"/>
        <w:rPr>
          <w:rFonts w:eastAsia="Times New Roman" w:cs="Courier New"/>
          <w:szCs w:val="24"/>
          <w:lang w:eastAsia="ru-RU"/>
        </w:rPr>
      </w:pPr>
      <w:r w:rsidRPr="00F72F1F">
        <w:rPr>
          <w:rFonts w:eastAsia="Times New Roman" w:cs="Courier New"/>
          <w:szCs w:val="24"/>
          <w:lang w:eastAsia="ru-RU"/>
        </w:rPr>
        <w:t>оказание Работ на качественно высоком уровне в соответствии с существующими технологиями и стандартами, требованиями санитарно-эпидемиологического законодательства РФ.</w:t>
      </w:r>
    </w:p>
    <w:p w:rsidR="00EE326E" w:rsidRPr="00F72F1F" w:rsidRDefault="00EE326E" w:rsidP="00EE326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ind w:right="-2"/>
        <w:rPr>
          <w:rFonts w:eastAsia="Times New Roman" w:cs="Courier New"/>
          <w:szCs w:val="24"/>
          <w:lang w:eastAsia="ru-RU"/>
        </w:rPr>
      </w:pPr>
      <w:r w:rsidRPr="00F72F1F">
        <w:rPr>
          <w:rFonts w:eastAsia="Times New Roman" w:cs="Courier New"/>
          <w:szCs w:val="24"/>
          <w:lang w:eastAsia="ru-RU"/>
        </w:rPr>
        <w:t>достаточное количество квалифицированного персонала для качественного выполнения Работ в полном объеме и в согласованные сроки.</w:t>
      </w:r>
    </w:p>
    <w:p w:rsidR="00EE326E" w:rsidRPr="00F72F1F" w:rsidRDefault="00EE326E" w:rsidP="00EE326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ind w:right="-2"/>
        <w:rPr>
          <w:rFonts w:eastAsia="Times New Roman" w:cs="Courier New"/>
          <w:szCs w:val="24"/>
          <w:lang w:eastAsia="ru-RU"/>
        </w:rPr>
      </w:pPr>
      <w:r w:rsidRPr="00F72F1F">
        <w:rPr>
          <w:rFonts w:eastAsia="Times New Roman" w:cs="Courier New"/>
          <w:szCs w:val="24"/>
          <w:lang w:eastAsia="ru-RU"/>
        </w:rPr>
        <w:t>организацию и контроль выполнения Работ;</w:t>
      </w:r>
    </w:p>
    <w:p w:rsidR="00EE326E" w:rsidRPr="00F72F1F" w:rsidRDefault="00EE326E" w:rsidP="00EE326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ind w:right="-2"/>
        <w:rPr>
          <w:rFonts w:eastAsia="Times New Roman" w:cs="Courier New"/>
          <w:szCs w:val="24"/>
          <w:lang w:eastAsia="ru-RU"/>
        </w:rPr>
      </w:pPr>
      <w:r w:rsidRPr="00F72F1F">
        <w:rPr>
          <w:rFonts w:eastAsia="Times New Roman" w:cs="Courier New"/>
          <w:szCs w:val="24"/>
          <w:lang w:eastAsia="ru-RU"/>
        </w:rPr>
        <w:t>наличие у используемых реактивов, иных расходных материалов, являющихся собственностью Исполнителя, соответствующих гигиенических заключений и/или сертификатов соответствия, а у оборудования Исполнителя, подлежащего обязательной сертификации – сертификатов соответствия.</w:t>
      </w:r>
    </w:p>
    <w:p w:rsidR="00EE326E" w:rsidRPr="00F72F1F" w:rsidRDefault="00EE326E" w:rsidP="00EE326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ind w:right="-2"/>
        <w:rPr>
          <w:rFonts w:eastAsia="Times New Roman" w:cs="Courier New"/>
          <w:szCs w:val="24"/>
          <w:lang w:eastAsia="ru-RU"/>
        </w:rPr>
      </w:pPr>
      <w:r w:rsidRPr="00F72F1F">
        <w:rPr>
          <w:rFonts w:eastAsia="Times New Roman" w:cs="Courier New"/>
          <w:szCs w:val="24"/>
          <w:lang w:eastAsia="ru-RU"/>
        </w:rPr>
        <w:t>наличие реактивов, оборудования и прочих расходных материалов в объемах, необходимых для качественного оказания Работ.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ind w:left="1225" w:hanging="505"/>
        <w:rPr>
          <w:szCs w:val="24"/>
        </w:rPr>
      </w:pPr>
      <w:r w:rsidRPr="00F72F1F">
        <w:rPr>
          <w:szCs w:val="24"/>
        </w:rPr>
        <w:t xml:space="preserve"> Протоколы лабораторно-инструментальных исследований составляются с подробным описанием результатов проведенного анализа.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ind w:left="1225" w:hanging="505"/>
        <w:rPr>
          <w:szCs w:val="24"/>
        </w:rPr>
      </w:pPr>
      <w:r w:rsidRPr="00F72F1F">
        <w:rPr>
          <w:szCs w:val="24"/>
        </w:rPr>
        <w:t>Отбор проб осуществляется силами Исполнителя.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spacing w:before="240" w:after="200"/>
        <w:ind w:left="788" w:hanging="431"/>
        <w:rPr>
          <w:b/>
          <w:szCs w:val="24"/>
        </w:rPr>
      </w:pPr>
      <w:r w:rsidRPr="00F72F1F">
        <w:rPr>
          <w:b/>
          <w:szCs w:val="24"/>
        </w:rPr>
        <w:t xml:space="preserve">Дополнительные требования. 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ind w:left="1225" w:hanging="505"/>
        <w:rPr>
          <w:szCs w:val="24"/>
        </w:rPr>
      </w:pPr>
      <w:r w:rsidRPr="00F72F1F">
        <w:rPr>
          <w:szCs w:val="24"/>
        </w:rPr>
        <w:t>Сверку объемов и качества оказанных Работ осуществляют постоянные ответственные представители Заказчика и Исполнителя.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ind w:left="1225" w:hanging="505"/>
        <w:rPr>
          <w:szCs w:val="24"/>
        </w:rPr>
      </w:pPr>
      <w:r w:rsidRPr="00F72F1F">
        <w:rPr>
          <w:szCs w:val="24"/>
        </w:rPr>
        <w:t xml:space="preserve">Акты сдачи-приемки оказанных Работ подписываются Сторонами только после предоставления Исполнителем Заказчику оригиналов Протоколов лабораторно-инструментальных исследований за фактически выполненные работы. 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ind w:left="1225" w:hanging="505"/>
        <w:rPr>
          <w:szCs w:val="24"/>
        </w:rPr>
      </w:pPr>
      <w:r w:rsidRPr="00F72F1F">
        <w:rPr>
          <w:szCs w:val="24"/>
        </w:rPr>
        <w:t>Работы осуществляются по графику, определенному в гл. «Объемы и виды работ». В случае производственной необходимости Заказчик имеет право изменить периодичность, виды и объемы выполняемых работ, о чем извещает Исполнителя не позднее, чем за 10 рабочих дней до начала выполнения конкретных видов Работ.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ind w:left="1225" w:hanging="505"/>
        <w:rPr>
          <w:szCs w:val="24"/>
        </w:rPr>
      </w:pPr>
      <w:r w:rsidRPr="00F72F1F">
        <w:rPr>
          <w:szCs w:val="24"/>
        </w:rPr>
        <w:t>До начала работ ответственные Исполнители Сторон согласовывают календарный график проведения работ.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ind w:left="1225" w:hanging="505"/>
        <w:rPr>
          <w:szCs w:val="24"/>
        </w:rPr>
      </w:pPr>
      <w:r w:rsidRPr="00F72F1F">
        <w:rPr>
          <w:szCs w:val="24"/>
        </w:rPr>
        <w:t>Подписание Акта производится в течение 10 рабочих дней после сверки фактических объемов</w:t>
      </w:r>
      <w:r>
        <w:rPr>
          <w:szCs w:val="24"/>
        </w:rPr>
        <w:t>.</w:t>
      </w:r>
      <w:r w:rsidRPr="00F72F1F">
        <w:rPr>
          <w:szCs w:val="24"/>
        </w:rPr>
        <w:t xml:space="preserve"> Работ ответственными представителями Сторон и </w:t>
      </w:r>
      <w:r w:rsidRPr="00F72F1F">
        <w:rPr>
          <w:szCs w:val="24"/>
        </w:rPr>
        <w:lastRenderedPageBreak/>
        <w:t xml:space="preserve">предоставления Исполнителем предоставления Исполнителем Заказчику оригиналов Протоколов лабораторно-инструментальных исследований за фактически выполненные работы. 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ind w:left="1225" w:hanging="505"/>
        <w:rPr>
          <w:szCs w:val="24"/>
        </w:rPr>
      </w:pPr>
      <w:r w:rsidRPr="00F72F1F">
        <w:rPr>
          <w:szCs w:val="24"/>
        </w:rPr>
        <w:t>В случае выявления ответственными представителями Заказчика нарушений и недостатков при выполнении работ Исполнителем, последний обязан незамедлительно устранить выявленные нарушения и недостатки. Акты выполненных работ подписываются Сторонами только после устранения всех выявленных нарушений и недостатков.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ind w:left="1225" w:hanging="505"/>
        <w:rPr>
          <w:szCs w:val="24"/>
        </w:rPr>
      </w:pPr>
      <w:r w:rsidRPr="00F72F1F">
        <w:rPr>
          <w:szCs w:val="24"/>
        </w:rPr>
        <w:t xml:space="preserve">За срыв согласованных сроков и объемов оказываемых Работ Заказчик выставляет Исполнителю штрафные санкции. </w:t>
      </w:r>
    </w:p>
    <w:p w:rsidR="00EE326E" w:rsidRPr="00F72F1F" w:rsidRDefault="00EE326E" w:rsidP="00EE326E">
      <w:pPr>
        <w:pStyle w:val="a3"/>
        <w:numPr>
          <w:ilvl w:val="2"/>
          <w:numId w:val="1"/>
        </w:numPr>
        <w:ind w:left="1225" w:hanging="505"/>
        <w:rPr>
          <w:szCs w:val="24"/>
        </w:rPr>
      </w:pPr>
      <w:r w:rsidRPr="00F72F1F">
        <w:rPr>
          <w:szCs w:val="24"/>
        </w:rPr>
        <w:t>При изменении условий сотрудничества конкурсная процедура проводится заново.</w:t>
      </w:r>
    </w:p>
    <w:p w:rsidR="00EE326E" w:rsidRPr="00F72F1F" w:rsidRDefault="00EE326E" w:rsidP="00EE326E">
      <w:pPr>
        <w:pStyle w:val="a3"/>
        <w:numPr>
          <w:ilvl w:val="0"/>
          <w:numId w:val="1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Порядок оплаты.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ind w:left="788" w:hanging="431"/>
        <w:rPr>
          <w:szCs w:val="24"/>
        </w:rPr>
      </w:pPr>
      <w:r w:rsidRPr="00F72F1F">
        <w:rPr>
          <w:szCs w:val="24"/>
        </w:rPr>
        <w:t>Цена оказываемых Работ определяется Протоколом согласования цены, в котором указывается наименование Работ, единица измерения, цена за единицу измерения, Общая стоимость работ (для работ, выполняемых по графику), периодичность выполнения.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ind w:left="788" w:hanging="431"/>
        <w:rPr>
          <w:szCs w:val="24"/>
        </w:rPr>
      </w:pPr>
      <w:r w:rsidRPr="00F72F1F">
        <w:rPr>
          <w:szCs w:val="24"/>
        </w:rPr>
        <w:t>Оплата Работ осуществляется за расчетный период за фактически оказанные Работы в течение 20 (двадцати) рабочих дней после подписания Сторонами соответствующего Акта сдачи-приемки оказанных Работ. За расчетный период принимается месяц, в который Исполнитель выполнил Работы.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ind w:left="788" w:hanging="431"/>
        <w:rPr>
          <w:szCs w:val="24"/>
        </w:rPr>
      </w:pPr>
      <w:r w:rsidRPr="00F72F1F">
        <w:rPr>
          <w:szCs w:val="24"/>
        </w:rPr>
        <w:t>Оплата осуществляется безналичным способом, в российских рублях.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ind w:left="788" w:hanging="431"/>
        <w:rPr>
          <w:szCs w:val="24"/>
        </w:rPr>
      </w:pPr>
      <w:r w:rsidRPr="00F72F1F">
        <w:rPr>
          <w:szCs w:val="24"/>
        </w:rPr>
        <w:t>Исполнитель вправе отказаться от исполнения принятых на себя обязательств по выполнению Работ, направив Заказчику письменное уведомление в срок не позднее, чем за 60 (шестьдесят) рабочих дней до предполагаемой даты окончания предоставления Услуг.</w:t>
      </w:r>
    </w:p>
    <w:p w:rsidR="00EE326E" w:rsidRPr="00F72F1F" w:rsidRDefault="00EE326E" w:rsidP="00EE326E">
      <w:pPr>
        <w:pStyle w:val="a3"/>
        <w:numPr>
          <w:ilvl w:val="0"/>
          <w:numId w:val="1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Прочие требования к участнику закупки.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ind w:left="788" w:hanging="431"/>
        <w:rPr>
          <w:szCs w:val="24"/>
        </w:rPr>
      </w:pPr>
      <w:r w:rsidRPr="00F72F1F">
        <w:rPr>
          <w:szCs w:val="24"/>
        </w:rPr>
        <w:t>Требования к составу документов, направляемых Исполнителем Заказчику совместно с Коммерческим предложением (</w:t>
      </w:r>
      <w:r w:rsidRPr="00F72F1F">
        <w:rPr>
          <w:i/>
          <w:szCs w:val="24"/>
        </w:rPr>
        <w:t>при их отсутствии или неполном соответствии Коммерческое предложение не рассматривается</w:t>
      </w:r>
      <w:r w:rsidRPr="00F72F1F">
        <w:rPr>
          <w:szCs w:val="24"/>
        </w:rPr>
        <w:t>).</w:t>
      </w:r>
    </w:p>
    <w:p w:rsidR="00EE326E" w:rsidRPr="00F72F1F" w:rsidRDefault="00EE326E" w:rsidP="00EE326E">
      <w:pPr>
        <w:ind w:firstLine="567"/>
        <w:rPr>
          <w:szCs w:val="24"/>
        </w:rPr>
      </w:pPr>
      <w:r w:rsidRPr="00F72F1F">
        <w:rPr>
          <w:szCs w:val="24"/>
        </w:rPr>
        <w:t>Исполнителю к Коммерческому предложению необходимо приложить следующие документы:</w:t>
      </w:r>
    </w:p>
    <w:p w:rsidR="00EE326E" w:rsidRPr="00F72F1F" w:rsidRDefault="00EE326E" w:rsidP="00EE326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hanging="357"/>
        <w:rPr>
          <w:szCs w:val="24"/>
        </w:rPr>
      </w:pPr>
      <w:r w:rsidRPr="00F72F1F">
        <w:rPr>
          <w:szCs w:val="24"/>
        </w:rPr>
        <w:t>Выписка из ЕГРЮЛ (подтверждение опыта работы).</w:t>
      </w:r>
    </w:p>
    <w:p w:rsidR="00EE326E" w:rsidRPr="00F72F1F" w:rsidRDefault="00EE326E" w:rsidP="00EE326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hanging="357"/>
        <w:rPr>
          <w:szCs w:val="24"/>
        </w:rPr>
      </w:pPr>
      <w:r w:rsidRPr="00F72F1F">
        <w:rPr>
          <w:szCs w:val="24"/>
        </w:rPr>
        <w:t>Копия Лицензии Исполнителя на работу с микроорганизмами 3-4 класса опасности (либо действующие договоры и Лицензии со специализированными организациями).</w:t>
      </w:r>
    </w:p>
    <w:p w:rsidR="00EE326E" w:rsidRPr="00F72F1F" w:rsidRDefault="00EE326E" w:rsidP="00EE326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hanging="357"/>
        <w:rPr>
          <w:szCs w:val="24"/>
        </w:rPr>
      </w:pPr>
      <w:r w:rsidRPr="00F72F1F">
        <w:rPr>
          <w:szCs w:val="24"/>
        </w:rPr>
        <w:t>Копия Лицензии на проведение исследований источников ионизирующего излучения (либо действующие договоры и Лицензии со специализированными организациями).</w:t>
      </w:r>
    </w:p>
    <w:p w:rsidR="00EE326E" w:rsidRPr="00F72F1F" w:rsidRDefault="00EE326E" w:rsidP="00EE326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hanging="357"/>
        <w:rPr>
          <w:szCs w:val="24"/>
        </w:rPr>
      </w:pPr>
      <w:r w:rsidRPr="00F72F1F">
        <w:rPr>
          <w:szCs w:val="24"/>
        </w:rPr>
        <w:t>Копию Аттестата аккредитации с Областью аккредитации.</w:t>
      </w:r>
    </w:p>
    <w:p w:rsidR="00EE326E" w:rsidRPr="00F72F1F" w:rsidRDefault="00EE326E" w:rsidP="00EE326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hanging="357"/>
        <w:rPr>
          <w:szCs w:val="24"/>
        </w:rPr>
      </w:pPr>
      <w:r w:rsidRPr="00F72F1F">
        <w:rPr>
          <w:szCs w:val="24"/>
        </w:rPr>
        <w:t>Копии документов, подтверждающих аттестацию привлекаемых сотрудников.</w:t>
      </w:r>
    </w:p>
    <w:p w:rsidR="00EE326E" w:rsidRPr="00F72F1F" w:rsidRDefault="00EE326E" w:rsidP="00EE326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hanging="357"/>
        <w:rPr>
          <w:szCs w:val="24"/>
        </w:rPr>
      </w:pPr>
      <w:r w:rsidRPr="00F72F1F">
        <w:rPr>
          <w:szCs w:val="24"/>
        </w:rPr>
        <w:t>Копии Документов, подтверждающих наличие необходимой материально-технической базы.</w:t>
      </w:r>
    </w:p>
    <w:p w:rsidR="00EE326E" w:rsidRPr="00F72F1F" w:rsidRDefault="00EE326E" w:rsidP="00EE326E">
      <w:pPr>
        <w:pStyle w:val="a3"/>
        <w:numPr>
          <w:ilvl w:val="0"/>
          <w:numId w:val="1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Дополнительные требования к оформлению Коммерческого предложения.</w:t>
      </w:r>
    </w:p>
    <w:p w:rsidR="00EE326E" w:rsidRPr="00F72F1F" w:rsidRDefault="00EE326E" w:rsidP="00EE326E">
      <w:pPr>
        <w:pStyle w:val="a3"/>
        <w:numPr>
          <w:ilvl w:val="1"/>
          <w:numId w:val="1"/>
        </w:numPr>
        <w:ind w:left="788" w:hanging="431"/>
        <w:rPr>
          <w:szCs w:val="24"/>
        </w:rPr>
      </w:pPr>
      <w:r w:rsidRPr="00F72F1F">
        <w:rPr>
          <w:szCs w:val="24"/>
        </w:rPr>
        <w:lastRenderedPageBreak/>
        <w:t xml:space="preserve">Цены в Коммерческом предложении указываются как в виде общей стоимости работ, так и в виде прейскуранта, который оформляется в виде таблицы в которой в обязательном порядке указывается наименование услуги, единицы измерения и цена за единицу измерения по каждому виду услуг. В случае, если отдельная цена за какой-либо вид услуги не предусмотрена, в таблице указывается «бесплатно».  </w:t>
      </w:r>
    </w:p>
    <w:p w:rsidR="00EE326E" w:rsidRDefault="00EE326E" w:rsidP="006157F3">
      <w:pPr>
        <w:tabs>
          <w:tab w:val="left" w:pos="6096"/>
        </w:tabs>
        <w:ind w:left="788" w:firstLine="0"/>
        <w:rPr>
          <w:b/>
          <w:szCs w:val="24"/>
        </w:rPr>
      </w:pPr>
    </w:p>
    <w:p w:rsidR="006157F3" w:rsidRDefault="006157F3" w:rsidP="00EE326E">
      <w:pPr>
        <w:tabs>
          <w:tab w:val="left" w:pos="6096"/>
        </w:tabs>
        <w:rPr>
          <w:b/>
          <w:szCs w:val="24"/>
        </w:rPr>
      </w:pPr>
      <w:r>
        <w:rPr>
          <w:b/>
          <w:szCs w:val="24"/>
        </w:rPr>
        <w:t>Согласовано:</w:t>
      </w:r>
    </w:p>
    <w:p w:rsidR="006157F3" w:rsidRDefault="006157F3" w:rsidP="00EE326E">
      <w:pPr>
        <w:tabs>
          <w:tab w:val="left" w:pos="6096"/>
        </w:tabs>
        <w:rPr>
          <w:b/>
          <w:szCs w:val="24"/>
        </w:rPr>
      </w:pPr>
    </w:p>
    <w:p w:rsidR="006157F3" w:rsidRPr="00F72F1F" w:rsidRDefault="006157F3" w:rsidP="00EE326E">
      <w:pPr>
        <w:tabs>
          <w:tab w:val="left" w:pos="6096"/>
        </w:tabs>
        <w:rPr>
          <w:b/>
          <w:szCs w:val="24"/>
        </w:rPr>
      </w:pPr>
      <w:bookmarkStart w:id="0" w:name="_GoBack"/>
      <w:bookmarkEnd w:id="0"/>
    </w:p>
    <w:p w:rsidR="00EE326E" w:rsidRPr="00F72F1F" w:rsidRDefault="006157F3" w:rsidP="00EE326E">
      <w:pPr>
        <w:tabs>
          <w:tab w:val="left" w:pos="6096"/>
        </w:tabs>
        <w:rPr>
          <w:b/>
          <w:szCs w:val="24"/>
        </w:rPr>
      </w:pPr>
      <w:r>
        <w:rPr>
          <w:b/>
          <w:szCs w:val="24"/>
        </w:rPr>
        <w:t xml:space="preserve"> </w:t>
      </w:r>
    </w:p>
    <w:p w:rsidR="00EE326E" w:rsidRPr="00F72F1F" w:rsidRDefault="00EE326E" w:rsidP="00EE326E">
      <w:pPr>
        <w:tabs>
          <w:tab w:val="left" w:pos="6096"/>
        </w:tabs>
        <w:rPr>
          <w:b/>
          <w:szCs w:val="24"/>
        </w:rPr>
      </w:pPr>
      <w:r w:rsidRPr="00F72F1F">
        <w:rPr>
          <w:b/>
          <w:szCs w:val="24"/>
        </w:rPr>
        <w:t>Исполнитель:</w:t>
      </w:r>
    </w:p>
    <w:p w:rsidR="00EE326E" w:rsidRPr="00F72F1F" w:rsidRDefault="00EE326E" w:rsidP="00EE326E">
      <w:pPr>
        <w:tabs>
          <w:tab w:val="left" w:pos="6096"/>
        </w:tabs>
        <w:rPr>
          <w:b/>
          <w:szCs w:val="24"/>
        </w:rPr>
      </w:pPr>
      <w:r w:rsidRPr="00F72F1F">
        <w:rPr>
          <w:b/>
          <w:szCs w:val="24"/>
        </w:rPr>
        <w:t>Врач санитарный</w:t>
      </w:r>
      <w:r w:rsidRPr="00F72F1F">
        <w:rPr>
          <w:b/>
          <w:szCs w:val="24"/>
        </w:rPr>
        <w:tab/>
        <w:t>И.В. Лунев</w:t>
      </w:r>
    </w:p>
    <w:p w:rsidR="00031EC2" w:rsidRPr="00EE326E" w:rsidRDefault="00031EC2">
      <w:pPr>
        <w:rPr>
          <w:rFonts w:cs="Times New Roman"/>
        </w:rPr>
      </w:pPr>
    </w:p>
    <w:sectPr w:rsidR="00031EC2" w:rsidRPr="00EE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E1FA5"/>
    <w:multiLevelType w:val="hybridMultilevel"/>
    <w:tmpl w:val="4C968BD2"/>
    <w:lvl w:ilvl="0" w:tplc="0A829E7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0D2F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835844"/>
    <w:multiLevelType w:val="hybridMultilevel"/>
    <w:tmpl w:val="EF0430A6"/>
    <w:lvl w:ilvl="0" w:tplc="8EA49B3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6E"/>
    <w:rsid w:val="00031EC2"/>
    <w:rsid w:val="006157F3"/>
    <w:rsid w:val="00E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D5BF"/>
  <w15:chartTrackingRefBased/>
  <w15:docId w15:val="{27589249-E5E7-4F5A-B9FB-D800E4E1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6E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26E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EE326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326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2491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Тазеева Ирина</dc:creator>
  <cp:keywords/>
  <dc:description/>
  <cp:lastModifiedBy>Тазеева Ирина</cp:lastModifiedBy>
  <cp:revision>3</cp:revision>
  <dcterms:created xsi:type="dcterms:W3CDTF">2020-07-03T12:11:00Z</dcterms:created>
  <dcterms:modified xsi:type="dcterms:W3CDTF">2020-07-09T08:12:00Z</dcterms:modified>
</cp:coreProperties>
</file>