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99" w:rsidRDefault="00B92799" w:rsidP="00B92799">
      <w:pPr>
        <w:ind w:left="-567" w:firstLine="567"/>
        <w:jc w:val="center"/>
        <w:outlineLvl w:val="0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:rsidR="00B92799" w:rsidRPr="007B225B" w:rsidRDefault="00B92799" w:rsidP="00B92799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на закупку услуг по предоставлению подсобных работ </w:t>
      </w:r>
    </w:p>
    <w:p w:rsidR="00B92799" w:rsidRDefault="00B92799" w:rsidP="00B92799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в службе номерного фонда ПАО «ГК «Космос»</w:t>
      </w:r>
    </w:p>
    <w:p w:rsidR="00B92799" w:rsidRDefault="00B92799" w:rsidP="00B92799">
      <w:pPr>
        <w:ind w:left="-567" w:firstLine="567"/>
        <w:rPr>
          <w:lang w:val="ru-RU"/>
        </w:rPr>
      </w:pPr>
    </w:p>
    <w:p w:rsidR="00B92799" w:rsidRDefault="00B92799" w:rsidP="00B92799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Общая информация о Заказчике</w:t>
      </w:r>
    </w:p>
    <w:p w:rsidR="00B92799" w:rsidRDefault="00B92799" w:rsidP="00B92799">
      <w:pPr>
        <w:ind w:left="720"/>
        <w:rPr>
          <w:b/>
          <w:lang w:val="ru-RU"/>
        </w:rPr>
      </w:pPr>
    </w:p>
    <w:p w:rsidR="00B92799" w:rsidRDefault="00B92799" w:rsidP="00B92799">
      <w:pPr>
        <w:ind w:left="-567" w:firstLine="927"/>
        <w:outlineLvl w:val="0"/>
        <w:rPr>
          <w:lang w:val="ru-RU"/>
        </w:rPr>
      </w:pPr>
      <w:r>
        <w:rPr>
          <w:lang w:val="ru-RU"/>
        </w:rPr>
        <w:t xml:space="preserve">ИНН: </w:t>
      </w:r>
      <w:r>
        <w:rPr>
          <w:u w:val="single"/>
          <w:lang w:val="ru-RU"/>
        </w:rPr>
        <w:t>7717016198.</w:t>
      </w:r>
    </w:p>
    <w:p w:rsidR="00B92799" w:rsidRDefault="00B92799" w:rsidP="00B92799">
      <w:pPr>
        <w:ind w:firstLine="360"/>
        <w:rPr>
          <w:lang w:val="ru-RU"/>
        </w:rPr>
      </w:pPr>
      <w:r>
        <w:rPr>
          <w:lang w:val="ru-RU"/>
        </w:rPr>
        <w:t xml:space="preserve">Полное наименование: </w:t>
      </w:r>
      <w:r>
        <w:rPr>
          <w:u w:val="single"/>
          <w:lang w:val="ru-RU"/>
        </w:rPr>
        <w:t>Публичное акционерное общество «Гостиничный комплекс «Космос».</w:t>
      </w:r>
    </w:p>
    <w:p w:rsidR="00B92799" w:rsidRDefault="00B92799" w:rsidP="00B92799">
      <w:pPr>
        <w:ind w:left="-567" w:firstLine="927"/>
        <w:outlineLvl w:val="0"/>
        <w:rPr>
          <w:lang w:val="ru-RU"/>
        </w:rPr>
      </w:pPr>
      <w:r>
        <w:rPr>
          <w:lang w:val="ru-RU"/>
        </w:rPr>
        <w:t xml:space="preserve">Сокращенное наименование: </w:t>
      </w:r>
      <w:r>
        <w:rPr>
          <w:u w:val="single"/>
          <w:lang w:val="ru-RU"/>
        </w:rPr>
        <w:t>«ПАО «ГК «Космос».</w:t>
      </w:r>
    </w:p>
    <w:p w:rsidR="00B92799" w:rsidRDefault="00B92799" w:rsidP="00B92799">
      <w:pPr>
        <w:ind w:left="-567" w:firstLine="927"/>
        <w:outlineLvl w:val="0"/>
        <w:rPr>
          <w:lang w:val="ru-RU"/>
        </w:rPr>
      </w:pPr>
      <w:r>
        <w:rPr>
          <w:lang w:val="ru-RU"/>
        </w:rPr>
        <w:t xml:space="preserve">Адрес объекта: </w:t>
      </w:r>
      <w:r>
        <w:rPr>
          <w:u w:val="single"/>
          <w:lang w:val="ru-RU"/>
        </w:rPr>
        <w:t>129366, Россия, Москва, проспект Мира, 150.</w:t>
      </w:r>
    </w:p>
    <w:p w:rsidR="00B92799" w:rsidRDefault="00B92799" w:rsidP="00B92799">
      <w:pPr>
        <w:spacing w:after="160" w:line="254" w:lineRule="auto"/>
        <w:rPr>
          <w:lang w:val="ru-RU"/>
        </w:rPr>
      </w:pPr>
    </w:p>
    <w:p w:rsidR="00B92799" w:rsidRDefault="00B92799" w:rsidP="00B92799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Цель закупки</w:t>
      </w:r>
    </w:p>
    <w:p w:rsidR="00B92799" w:rsidRDefault="00B92799" w:rsidP="00B92799">
      <w:pPr>
        <w:ind w:firstLine="567"/>
        <w:jc w:val="both"/>
        <w:rPr>
          <w:lang w:val="ru-RU" w:eastAsia="ru-RU"/>
        </w:rPr>
      </w:pPr>
      <w:r>
        <w:rPr>
          <w:lang w:val="ru-RU"/>
        </w:rPr>
        <w:t xml:space="preserve">Производство ежедневных подсобных работ в помещениях номерного фонда и прачечной, в соответствии с утвержденными внутренними регламентами гостиничного комплекса, а также в соответствии с </w:t>
      </w:r>
      <w:r>
        <w:rPr>
          <w:lang w:val="ru-RU" w:eastAsia="ru-RU"/>
        </w:rPr>
        <w:t xml:space="preserve">ГОСТ-Р 51870-2014 «Национальный стандарт Российской Федерации. Услуги профессиональной уборки – </w:t>
      </w:r>
      <w:proofErr w:type="spellStart"/>
      <w:r>
        <w:rPr>
          <w:lang w:val="ru-RU" w:eastAsia="ru-RU"/>
        </w:rPr>
        <w:t>клининговые</w:t>
      </w:r>
      <w:proofErr w:type="spellEnd"/>
      <w:r>
        <w:rPr>
          <w:lang w:val="ru-RU" w:eastAsia="ru-RU"/>
        </w:rPr>
        <w:t xml:space="preserve"> услуги. Общие технические условия», а также иными, предусмотренными ГОСТами и действующими техническими документами.</w:t>
      </w:r>
    </w:p>
    <w:p w:rsidR="00B92799" w:rsidRDefault="00B92799" w:rsidP="00B92799">
      <w:pPr>
        <w:ind w:firstLine="567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B92799" w:rsidRDefault="00B92799" w:rsidP="00B92799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Описание объекта закупки</w:t>
      </w:r>
    </w:p>
    <w:p w:rsidR="00B92799" w:rsidRDefault="00B92799" w:rsidP="00B92799">
      <w:pPr>
        <w:ind w:firstLine="567"/>
        <w:jc w:val="both"/>
        <w:rPr>
          <w:lang w:val="ru-RU"/>
        </w:rPr>
      </w:pPr>
      <w:r>
        <w:rPr>
          <w:b/>
          <w:color w:val="000000"/>
          <w:lang w:val="ru-RU"/>
        </w:rPr>
        <w:t xml:space="preserve"> 3.1.  </w:t>
      </w:r>
      <w:r>
        <w:rPr>
          <w:lang w:val="ru-RU"/>
        </w:rPr>
        <w:t>Помещения номерного (жилого) фонда расположены на 22 этажах (с 4 по 25 включительно). Помещения группы прачечной расположены на 1-ом этаже.</w:t>
      </w:r>
    </w:p>
    <w:p w:rsidR="00B92799" w:rsidRDefault="00B92799" w:rsidP="00B92799">
      <w:pPr>
        <w:ind w:firstLine="284"/>
        <w:jc w:val="both"/>
        <w:outlineLvl w:val="0"/>
        <w:rPr>
          <w:lang w:val="ru-RU"/>
        </w:rPr>
      </w:pPr>
      <w:r>
        <w:rPr>
          <w:lang w:val="ru-RU"/>
        </w:rPr>
        <w:t xml:space="preserve">Для перемещения работников между этажами имеются шесть служебных лифтов и незадымляемые лестницы. </w:t>
      </w:r>
    </w:p>
    <w:p w:rsidR="00B92799" w:rsidRDefault="00B92799" w:rsidP="00B92799">
      <w:pPr>
        <w:ind w:firstLine="284"/>
        <w:jc w:val="both"/>
        <w:outlineLvl w:val="0"/>
        <w:rPr>
          <w:color w:val="000000"/>
          <w:lang w:val="ru-RU"/>
        </w:rPr>
      </w:pPr>
      <w:r w:rsidRPr="00A10242">
        <w:rPr>
          <w:color w:val="000000"/>
          <w:lang w:val="ru-RU"/>
        </w:rPr>
        <w:t>Услуга</w:t>
      </w:r>
      <w:r>
        <w:rPr>
          <w:color w:val="000000"/>
          <w:lang w:val="ru-RU"/>
        </w:rPr>
        <w:t xml:space="preserve"> оказывается ежедневно. Время оказания услуги с 8.00 до 20.00 часов. При производственной необходимости время оказания услуги может быть изменено.</w:t>
      </w:r>
    </w:p>
    <w:p w:rsidR="00B92799" w:rsidRDefault="00B92799" w:rsidP="00B92799">
      <w:pPr>
        <w:ind w:left="-567" w:firstLine="851"/>
        <w:outlineLvl w:val="0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3.2. Услуги по выполнению подсобных работ (помещения номерного фонда):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Вывоз мусора со всех гостевых этажей (4-25) на минус 1-ый этаж (подвал) и складирование его в установленном месте, два раза в день в установленное время.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Погрузочно-разгрузочные работы в помещениях номерного фонда.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Расстановка мебели в помещениях номерного фонда, перемещение мебели, оборудования на склады, ремонтные мастерские и обратно.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Проходная уборка 22 этажей (в течение смены: убрать мусор в гостевых коридорах, протереть витражи дверей в гостевых лифтах).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Доставка в службу прачечной для стирки из номеров штор для затемнения/тюль (предварительно снять шторы для затемнения/тюль), возврат в номера чистых изделий с последующим развешиванием. 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Доставка со склада на этажи расходных материалов (чистящие/моющие средства, наполнители для диспенсеров со средствами гигиены, бутилированная вода).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Сбор и предварительная сортировка постельного белья, махровых изделий и текстильных изделий из номеров, доставка в специально предназначенное помещение на этаже или помещение группы прачечной (по необходимости).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Выполнение иных подсобных работ по указанию начальника смены.</w:t>
      </w:r>
    </w:p>
    <w:p w:rsidR="00B92799" w:rsidRDefault="00B92799" w:rsidP="00B92799">
      <w:pPr>
        <w:ind w:left="284"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3.3. Услуги по выполнению подсобных работ (группа прачечной):</w:t>
      </w:r>
    </w:p>
    <w:p w:rsidR="00B92799" w:rsidRDefault="00B92799" w:rsidP="00B92799">
      <w:pPr>
        <w:numPr>
          <w:ilvl w:val="0"/>
          <w:numId w:val="3"/>
        </w:numPr>
        <w:ind w:left="426" w:firstLine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Подача контейнеров с бельем из </w:t>
      </w:r>
      <w:proofErr w:type="spellStart"/>
      <w:r>
        <w:rPr>
          <w:color w:val="000000"/>
          <w:lang w:val="ru-RU"/>
        </w:rPr>
        <w:t>грязновой</w:t>
      </w:r>
      <w:proofErr w:type="spellEnd"/>
      <w:r>
        <w:rPr>
          <w:color w:val="000000"/>
          <w:lang w:val="ru-RU"/>
        </w:rPr>
        <w:t xml:space="preserve"> зоны группы прачечной на эстакаду, загрузка контейнеров в машину.</w:t>
      </w:r>
    </w:p>
    <w:p w:rsidR="00B92799" w:rsidRDefault="00B92799" w:rsidP="00B92799">
      <w:pPr>
        <w:numPr>
          <w:ilvl w:val="0"/>
          <w:numId w:val="4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Приемка контейнеров с чистым бельем из контейнеровоза, доставку контейнеров на склад.</w:t>
      </w:r>
    </w:p>
    <w:p w:rsidR="00B92799" w:rsidRDefault="00B92799" w:rsidP="00B92799">
      <w:pPr>
        <w:numPr>
          <w:ilvl w:val="0"/>
          <w:numId w:val="4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Разгрузка чистого белья, укладка на стеллажи.</w:t>
      </w:r>
    </w:p>
    <w:p w:rsidR="00B92799" w:rsidRDefault="00B92799" w:rsidP="00B92799">
      <w:pPr>
        <w:numPr>
          <w:ilvl w:val="0"/>
          <w:numId w:val="4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Подача чистого белья в тележках в поэтажные бельевые.</w:t>
      </w:r>
    </w:p>
    <w:p w:rsidR="00B92799" w:rsidRDefault="00B92799" w:rsidP="00B92799">
      <w:pPr>
        <w:numPr>
          <w:ilvl w:val="0"/>
          <w:numId w:val="4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Прием грязного белья по </w:t>
      </w:r>
      <w:proofErr w:type="spellStart"/>
      <w:r>
        <w:rPr>
          <w:color w:val="000000"/>
          <w:lang w:val="ru-RU"/>
        </w:rPr>
        <w:t>бельепроводу</w:t>
      </w:r>
      <w:proofErr w:type="spellEnd"/>
      <w:r>
        <w:rPr>
          <w:color w:val="000000"/>
          <w:lang w:val="ru-RU"/>
        </w:rPr>
        <w:t xml:space="preserve"> с этажей, сортировка постельного белья и махровых изделий по наименованию, количеству, степени загрязнения и износа, подсчет общего количества по наименованию и формирование узлов для передачи в стирку.</w:t>
      </w:r>
    </w:p>
    <w:p w:rsidR="00B92799" w:rsidRDefault="00B92799" w:rsidP="00B92799">
      <w:pPr>
        <w:numPr>
          <w:ilvl w:val="0"/>
          <w:numId w:val="4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Укладка в контейнеры уз</w:t>
      </w:r>
      <w:r w:rsidR="00F826DB">
        <w:rPr>
          <w:color w:val="000000"/>
          <w:lang w:val="ru-RU"/>
        </w:rPr>
        <w:t>лов с грязным бельем (</w:t>
      </w:r>
      <w:r>
        <w:rPr>
          <w:color w:val="000000"/>
          <w:lang w:val="ru-RU"/>
        </w:rPr>
        <w:t xml:space="preserve"> общественное питание, номерной фонд).</w:t>
      </w:r>
    </w:p>
    <w:p w:rsidR="00B92799" w:rsidRDefault="00B92799" w:rsidP="00B92799">
      <w:pPr>
        <w:numPr>
          <w:ilvl w:val="0"/>
          <w:numId w:val="4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Иные погрузочно-разгрузочные работы по заданию начальника смены.</w:t>
      </w:r>
    </w:p>
    <w:p w:rsidR="00B92799" w:rsidRDefault="00B92799" w:rsidP="00B92799">
      <w:pPr>
        <w:jc w:val="both"/>
        <w:rPr>
          <w:color w:val="000000"/>
          <w:lang w:val="ru-RU"/>
        </w:rPr>
      </w:pPr>
    </w:p>
    <w:p w:rsidR="00B92799" w:rsidRDefault="00B92799" w:rsidP="00B92799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Специальные требования к Исполнителю</w:t>
      </w:r>
    </w:p>
    <w:p w:rsidR="00B92799" w:rsidRDefault="00B92799" w:rsidP="00B92799">
      <w:pPr>
        <w:ind w:left="-567" w:firstLine="567"/>
        <w:rPr>
          <w:lang w:val="ru-RU"/>
        </w:rPr>
      </w:pPr>
      <w:r>
        <w:rPr>
          <w:lang w:val="ru-RU"/>
        </w:rPr>
        <w:t xml:space="preserve">Обязательными условиями оказания Услуг являются:  </w:t>
      </w:r>
    </w:p>
    <w:p w:rsidR="00B92799" w:rsidRDefault="00B92799" w:rsidP="00B92799">
      <w:pPr>
        <w:ind w:firstLine="567"/>
        <w:jc w:val="both"/>
        <w:rPr>
          <w:lang w:val="ru-RU"/>
        </w:rPr>
      </w:pPr>
      <w:r>
        <w:rPr>
          <w:lang w:val="ru-RU"/>
        </w:rPr>
        <w:t xml:space="preserve"> -  Предоставление обученного персонала, обладающего достаточным уровнем подготовки и знанием требований безопасности, правил обслуживания и санитарных норм, необходимых для выполнения работ;</w:t>
      </w:r>
    </w:p>
    <w:p w:rsidR="00B92799" w:rsidRDefault="00B92799" w:rsidP="00B92799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-   Гарантии осуществления Исполнителем своей деятельности с соблюдением и в соответствии с действующим Законодательством РФ: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>* наличие у персонала (не граждан РФ) оформленных должным образом регистрационных документов;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>*  наличие на объекте Заказчика у работников Исполнителя медицинских книжек;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>*  владение персоналом Исполнителя русским языком.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 Курирование предоставляемых услуг/работ ответственным лицом Исполнителя;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- 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случае предъявления ответственным представителем Заказчика обоснованной претензии к работнику Исполнителя, Исполнитель обязан заменить его в течение 1-го дня после поступления претензии (которая может быть передана по телефону, электронной почте, через куратора);  </w:t>
      </w:r>
      <w:r w:rsidR="00F826DB">
        <w:rPr>
          <w:lang w:val="ru-RU"/>
        </w:rPr>
        <w:t xml:space="preserve">    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Переуступка прав на выполнение работ третьим лицам не допускается.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Требования по Охране труда:</w:t>
      </w:r>
    </w:p>
    <w:p w:rsidR="00B92799" w:rsidRDefault="00B92799" w:rsidP="00B92799">
      <w:pPr>
        <w:autoSpaceDE w:val="0"/>
        <w:autoSpaceDN w:val="0"/>
        <w:ind w:left="142"/>
        <w:jc w:val="both"/>
        <w:rPr>
          <w:lang w:val="ru-RU"/>
        </w:rPr>
      </w:pPr>
      <w:r>
        <w:rPr>
          <w:lang w:val="ru-RU"/>
        </w:rPr>
        <w:t xml:space="preserve">              1. С работниками, привлекаемыми к работе на территории Заказчика, Исполнитель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 </w:t>
      </w:r>
    </w:p>
    <w:p w:rsidR="00B92799" w:rsidRDefault="00B92799" w:rsidP="00B92799">
      <w:pPr>
        <w:autoSpaceDE w:val="0"/>
        <w:autoSpaceDN w:val="0"/>
        <w:ind w:left="360"/>
        <w:jc w:val="both"/>
        <w:rPr>
          <w:lang w:val="ru-RU"/>
        </w:rPr>
      </w:pPr>
      <w:r>
        <w:rPr>
          <w:lang w:val="ru-RU"/>
        </w:rPr>
        <w:t xml:space="preserve">          1.2. Исполнитель представляет Заказчику для контроля,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B92799" w:rsidRDefault="00B92799" w:rsidP="00B92799">
      <w:pPr>
        <w:autoSpaceDE w:val="0"/>
        <w:autoSpaceDN w:val="0"/>
        <w:jc w:val="both"/>
        <w:rPr>
          <w:lang w:val="ru-RU"/>
        </w:rPr>
      </w:pPr>
      <w:r>
        <w:rPr>
          <w:lang w:val="ru-RU"/>
        </w:rPr>
        <w:t xml:space="preserve">  </w:t>
      </w:r>
    </w:p>
    <w:p w:rsidR="00B92799" w:rsidRDefault="00B92799" w:rsidP="00B92799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Порядок оплаты</w:t>
      </w:r>
    </w:p>
    <w:p w:rsidR="00B92799" w:rsidRDefault="00B92799" w:rsidP="00B92799">
      <w:pPr>
        <w:jc w:val="both"/>
        <w:rPr>
          <w:lang w:val="ru-RU"/>
        </w:rPr>
      </w:pPr>
      <w:r>
        <w:rPr>
          <w:lang w:val="ru-RU"/>
        </w:rPr>
        <w:t xml:space="preserve">   Оплата услуг осуществляется 1 раз в месяц, в течение 30 (тридцати) рабочих дней по факту выполненных работ после подписания Сторонами Акта </w:t>
      </w:r>
      <w:r w:rsidR="00F826DB">
        <w:rPr>
          <w:lang w:val="ru-RU"/>
        </w:rPr>
        <w:t>об оказанных услугах</w:t>
      </w:r>
      <w:r>
        <w:rPr>
          <w:lang w:val="ru-RU"/>
        </w:rPr>
        <w:t xml:space="preserve">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B92799" w:rsidRPr="007B225B" w:rsidRDefault="00B92799" w:rsidP="00B92799">
      <w:pPr>
        <w:jc w:val="both"/>
        <w:rPr>
          <w:lang w:val="ru-RU"/>
        </w:rPr>
      </w:pPr>
    </w:p>
    <w:p w:rsidR="00B92799" w:rsidRDefault="00B92799" w:rsidP="00B92799">
      <w:pPr>
        <w:numPr>
          <w:ilvl w:val="0"/>
          <w:numId w:val="1"/>
        </w:numPr>
        <w:jc w:val="both"/>
        <w:rPr>
          <w:b/>
          <w:lang w:val="ru-RU"/>
        </w:rPr>
      </w:pPr>
      <w:r>
        <w:rPr>
          <w:b/>
          <w:lang w:val="ru-RU"/>
        </w:rPr>
        <w:t>Условия расчетов</w:t>
      </w:r>
    </w:p>
    <w:p w:rsidR="00B92799" w:rsidRDefault="00B92799" w:rsidP="00B92799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>
        <w:rPr>
          <w:color w:val="000000"/>
          <w:lang w:val="ru-RU"/>
        </w:rPr>
        <w:t>т.ч</w:t>
      </w:r>
      <w:proofErr w:type="spellEnd"/>
      <w:r>
        <w:rPr>
          <w:color w:val="000000"/>
          <w:lang w:val="ru-RU"/>
        </w:rPr>
        <w:t xml:space="preserve">. вследствие возможной не благонадежности или не платежеспособности банков </w:t>
      </w:r>
      <w:r>
        <w:rPr>
          <w:color w:val="000000"/>
          <w:lang w:val="ru-RU"/>
        </w:rPr>
        <w:lastRenderedPageBreak/>
        <w:t>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B92799" w:rsidRDefault="00B92799" w:rsidP="00B92799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B92799" w:rsidRDefault="00B92799" w:rsidP="00B92799">
      <w:pPr>
        <w:pStyle w:val="a3"/>
        <w:numPr>
          <w:ilvl w:val="0"/>
          <w:numId w:val="5"/>
        </w:numPr>
        <w:autoSpaceDE w:val="0"/>
        <w:autoSpaceDN w:val="0"/>
        <w:jc w:val="both"/>
        <w:rPr>
          <w:color w:val="000000"/>
        </w:rPr>
      </w:pPr>
      <w:proofErr w:type="spellStart"/>
      <w:r>
        <w:rPr>
          <w:color w:val="000000"/>
        </w:rPr>
        <w:t>банковская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гарантия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или</w:t>
      </w:r>
      <w:proofErr w:type="spellEnd"/>
    </w:p>
    <w:p w:rsidR="00B92799" w:rsidRDefault="00B92799" w:rsidP="00B92799">
      <w:pPr>
        <w:pStyle w:val="a3"/>
        <w:numPr>
          <w:ilvl w:val="0"/>
          <w:numId w:val="5"/>
        </w:numPr>
        <w:autoSpaceDE w:val="0"/>
        <w:autoSpaceDN w:val="0"/>
        <w:jc w:val="both"/>
        <w:rPr>
          <w:color w:val="000000"/>
        </w:rPr>
      </w:pPr>
      <w:proofErr w:type="spellStart"/>
      <w:r>
        <w:rPr>
          <w:color w:val="000000"/>
        </w:rPr>
        <w:t>аккредитив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или</w:t>
      </w:r>
      <w:proofErr w:type="spellEnd"/>
    </w:p>
    <w:p w:rsidR="00B92799" w:rsidRDefault="00B92799" w:rsidP="00B92799">
      <w:pPr>
        <w:pStyle w:val="a3"/>
        <w:numPr>
          <w:ilvl w:val="0"/>
          <w:numId w:val="5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залог денежных средств на счете, или</w:t>
      </w:r>
    </w:p>
    <w:p w:rsidR="00B92799" w:rsidRDefault="00B92799" w:rsidP="00B92799">
      <w:pPr>
        <w:pStyle w:val="a3"/>
        <w:numPr>
          <w:ilvl w:val="0"/>
          <w:numId w:val="5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:rsidR="00B92799" w:rsidRDefault="00B92799" w:rsidP="00B92799">
      <w:pPr>
        <w:pStyle w:val="a3"/>
        <w:autoSpaceDE w:val="0"/>
        <w:autoSpaceDN w:val="0"/>
        <w:ind w:left="0"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:rsidR="00B92799" w:rsidRDefault="00B92799" w:rsidP="00B92799">
      <w:pPr>
        <w:pStyle w:val="a3"/>
        <w:numPr>
          <w:ilvl w:val="0"/>
          <w:numId w:val="6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B92799" w:rsidRDefault="00B92799" w:rsidP="00B9279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>
        <w:rPr>
          <w:color w:val="000000"/>
        </w:rPr>
        <w:t>  </w:t>
      </w:r>
      <w:r>
        <w:rPr>
          <w:color w:val="000000"/>
          <w:lang w:val="ru-RU"/>
        </w:rPr>
        <w:t xml:space="preserve"> Если контрагенты являются:</w:t>
      </w:r>
    </w:p>
    <w:p w:rsidR="00B92799" w:rsidRDefault="00B92799" w:rsidP="00B9279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2.1 органы власти</w:t>
      </w:r>
    </w:p>
    <w:p w:rsidR="00B92799" w:rsidRDefault="00B92799" w:rsidP="00B9279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2.2 государственные учреждения, предприятия или корпорации</w:t>
      </w:r>
    </w:p>
    <w:p w:rsidR="00B92799" w:rsidRDefault="00B92799" w:rsidP="00B9279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2.3 субъекты естественных монополий</w:t>
      </w:r>
    </w:p>
    <w:p w:rsidR="00B92799" w:rsidRDefault="00B92799" w:rsidP="00B9279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2.4 иностранные компании (нерезиденты), не имеющие филиала и/или представительства на территории РФ</w:t>
      </w:r>
    </w:p>
    <w:p w:rsidR="00B92799" w:rsidRDefault="00B92799" w:rsidP="00B9279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2.5 финансовые, налоговые, юридические или иные консультанты</w:t>
      </w:r>
    </w:p>
    <w:p w:rsidR="00B92799" w:rsidRDefault="00B92799" w:rsidP="00B92799">
      <w:pPr>
        <w:jc w:val="both"/>
        <w:rPr>
          <w:color w:val="000000"/>
          <w:lang w:val="ru-RU"/>
        </w:rPr>
      </w:pPr>
      <w:r>
        <w:rPr>
          <w:color w:val="000000"/>
        </w:rPr>
        <w:t>           </w:t>
      </w:r>
      <w:r>
        <w:rPr>
          <w:color w:val="000000"/>
          <w:lang w:val="ru-RU"/>
        </w:rPr>
        <w:t xml:space="preserve"> </w:t>
      </w:r>
      <w:r w:rsidRPr="007B225B">
        <w:rPr>
          <w:color w:val="000000"/>
          <w:lang w:val="ru-RU"/>
        </w:rPr>
        <w:t>2.6 благотворительные организации</w:t>
      </w:r>
      <w:r>
        <w:rPr>
          <w:color w:val="000000"/>
          <w:lang w:val="ru-RU"/>
        </w:rPr>
        <w:t>.</w:t>
      </w:r>
    </w:p>
    <w:p w:rsidR="00B92799" w:rsidRPr="007B225B" w:rsidRDefault="00B92799" w:rsidP="00B92799">
      <w:pPr>
        <w:rPr>
          <w:rFonts w:ascii="Calibri" w:hAnsi="Calibri"/>
          <w:color w:val="1F497D"/>
          <w:lang w:val="ru-RU"/>
        </w:rPr>
      </w:pPr>
    </w:p>
    <w:p w:rsidR="00B92799" w:rsidRDefault="00B92799" w:rsidP="00B92799">
      <w:pPr>
        <w:ind w:left="-567" w:firstLine="567"/>
        <w:rPr>
          <w:b/>
          <w:lang w:val="ru-RU"/>
        </w:rPr>
      </w:pPr>
      <w:r>
        <w:rPr>
          <w:b/>
          <w:lang w:val="ru-RU"/>
        </w:rPr>
        <w:t xml:space="preserve">   7.     Дополнительные/прочие требования к участнику закупки</w:t>
      </w:r>
    </w:p>
    <w:p w:rsidR="00B92799" w:rsidRDefault="00B92799" w:rsidP="00B92799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            </w:t>
      </w:r>
      <w:r>
        <w:rPr>
          <w:u w:val="single"/>
          <w:lang w:val="ru-RU"/>
        </w:rPr>
        <w:t>Требования к составу документов, направляемых Исполнителем Заказчику</w:t>
      </w:r>
      <w:r>
        <w:rPr>
          <w:lang w:val="ru-RU"/>
        </w:rPr>
        <w:t>.</w:t>
      </w:r>
    </w:p>
    <w:p w:rsidR="00B92799" w:rsidRDefault="00B92799" w:rsidP="00B92799">
      <w:pPr>
        <w:ind w:left="-567" w:firstLine="567"/>
        <w:rPr>
          <w:lang w:val="ru-RU"/>
        </w:rPr>
      </w:pPr>
      <w:r>
        <w:rPr>
          <w:lang w:val="ru-RU"/>
        </w:rPr>
        <w:t>Исполнителю к Коммерческому предложению необходимо приложить следующие документы:</w:t>
      </w:r>
    </w:p>
    <w:p w:rsidR="00B92799" w:rsidRDefault="00B92799" w:rsidP="00B92799">
      <w:pPr>
        <w:numPr>
          <w:ilvl w:val="0"/>
          <w:numId w:val="7"/>
        </w:numPr>
        <w:tabs>
          <w:tab w:val="num" w:pos="709"/>
        </w:tabs>
        <w:spacing w:line="254" w:lineRule="auto"/>
        <w:ind w:left="709"/>
        <w:jc w:val="both"/>
        <w:rPr>
          <w:lang w:val="ru-RU"/>
        </w:rPr>
      </w:pPr>
      <w:r>
        <w:rPr>
          <w:lang w:val="ru-RU"/>
        </w:rPr>
        <w:t>Гарантийное письмо, подтверждающее готовность Исполнителя к оказанию услуг по подсобным работам, в соответствии с Техническим заданием.</w:t>
      </w:r>
    </w:p>
    <w:p w:rsidR="00B92799" w:rsidRPr="00EE59B2" w:rsidRDefault="00B92799" w:rsidP="00B92799">
      <w:pPr>
        <w:numPr>
          <w:ilvl w:val="0"/>
          <w:numId w:val="7"/>
        </w:numPr>
        <w:tabs>
          <w:tab w:val="num" w:pos="709"/>
        </w:tabs>
        <w:ind w:left="709" w:hanging="624"/>
        <w:jc w:val="both"/>
        <w:rPr>
          <w:lang w:val="ru-RU"/>
        </w:rPr>
      </w:pPr>
      <w:r w:rsidRPr="00EE59B2">
        <w:rPr>
          <w:lang w:val="ru-RU"/>
        </w:rPr>
        <w:t>Рекомендательные письма (не менее 3-х), подтверждающие опыт работы в гостиницах г. Москве.</w:t>
      </w:r>
    </w:p>
    <w:p w:rsidR="00B92799" w:rsidRPr="00FD0D71" w:rsidRDefault="00B92799" w:rsidP="00B92799">
      <w:pPr>
        <w:numPr>
          <w:ilvl w:val="0"/>
          <w:numId w:val="7"/>
        </w:numPr>
        <w:tabs>
          <w:tab w:val="num" w:pos="709"/>
        </w:tabs>
        <w:ind w:left="709" w:hanging="624"/>
        <w:jc w:val="both"/>
        <w:rPr>
          <w:lang w:val="ru-RU"/>
        </w:rPr>
      </w:pPr>
      <w:r w:rsidRPr="00FD0D71">
        <w:rPr>
          <w:lang w:val="ru-RU"/>
        </w:rPr>
        <w:t>Основной вид деятельности должен соответствовать предмету закупки.</w:t>
      </w:r>
    </w:p>
    <w:p w:rsidR="00497C37" w:rsidRDefault="00B92799" w:rsidP="00B92799">
      <w:pPr>
        <w:spacing w:after="160" w:line="254" w:lineRule="auto"/>
        <w:ind w:firstLine="567"/>
        <w:outlineLvl w:val="0"/>
        <w:rPr>
          <w:lang w:val="ru-RU"/>
        </w:rPr>
      </w:pPr>
      <w:r w:rsidRPr="00EE59B2">
        <w:rPr>
          <w:u w:val="single"/>
          <w:lang w:val="ru-RU"/>
        </w:rPr>
        <w:t>Дополнительные требования к оформлению Коммерческого предложения</w:t>
      </w:r>
      <w:r w:rsidRPr="00EE59B2">
        <w:rPr>
          <w:lang w:val="ru-RU"/>
        </w:rPr>
        <w:t>.</w:t>
      </w:r>
      <w:r>
        <w:rPr>
          <w:lang w:val="ru-RU"/>
        </w:rPr>
        <w:t xml:space="preserve"> </w:t>
      </w:r>
    </w:p>
    <w:p w:rsidR="00B92799" w:rsidRDefault="00B92799" w:rsidP="00B92799">
      <w:pPr>
        <w:spacing w:after="160" w:line="254" w:lineRule="auto"/>
        <w:ind w:firstLine="567"/>
        <w:outlineLvl w:val="0"/>
        <w:rPr>
          <w:lang w:val="ru-RU"/>
        </w:rPr>
      </w:pPr>
      <w:bookmarkStart w:id="0" w:name="_GoBack"/>
      <w:bookmarkEnd w:id="0"/>
      <w:r>
        <w:rPr>
          <w:lang w:val="ru-RU"/>
        </w:rPr>
        <w:t>В Коммерческом предложении указать стоимость одного часа подсобных работ с НДС и без НДС.</w:t>
      </w:r>
    </w:p>
    <w:p w:rsidR="001F58B7" w:rsidRPr="0009594B" w:rsidRDefault="001F58B7">
      <w:pPr>
        <w:rPr>
          <w:lang w:val="ru-RU"/>
        </w:rPr>
      </w:pPr>
    </w:p>
    <w:sectPr w:rsidR="001F58B7" w:rsidRPr="0009594B" w:rsidSect="00450CA5">
      <w:pgSz w:w="11906" w:h="16838" w:code="9"/>
      <w:pgMar w:top="1440" w:right="1077" w:bottom="1440" w:left="1077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CD90BE4A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A00825"/>
    <w:multiLevelType w:val="hybridMultilevel"/>
    <w:tmpl w:val="441E9E9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1B75078"/>
    <w:multiLevelType w:val="hybridMultilevel"/>
    <w:tmpl w:val="BFACD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7A307A2"/>
    <w:multiLevelType w:val="hybridMultilevel"/>
    <w:tmpl w:val="F1BEA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4B"/>
    <w:rsid w:val="0009594B"/>
    <w:rsid w:val="001F58B7"/>
    <w:rsid w:val="00450CA5"/>
    <w:rsid w:val="00497C37"/>
    <w:rsid w:val="0088055F"/>
    <w:rsid w:val="00B92799"/>
    <w:rsid w:val="00F8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786C"/>
  <w15:chartTrackingRefBased/>
  <w15:docId w15:val="{073B31E5-5D35-4DA1-9FDF-8A9AFC85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Ардзинба Анжелика</dc:creator>
  <cp:keywords/>
  <dc:description/>
  <cp:lastModifiedBy>Дзер Светлана</cp:lastModifiedBy>
  <cp:revision>4</cp:revision>
  <dcterms:created xsi:type="dcterms:W3CDTF">2020-09-21T10:26:00Z</dcterms:created>
  <dcterms:modified xsi:type="dcterms:W3CDTF">2021-09-02T08:53:00Z</dcterms:modified>
</cp:coreProperties>
</file>