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474C63B" w14:textId="05AC4AD6" w:rsidR="001F5B8B" w:rsidRDefault="00DA309C" w:rsidP="00DA309C">
      <w:pPr>
        <w:spacing w:line="240" w:lineRule="auto"/>
        <w:jc w:val="center"/>
        <w:rPr>
          <w:b/>
          <w:sz w:val="26"/>
          <w:szCs w:val="26"/>
        </w:rPr>
      </w:pPr>
      <w:r>
        <w:rPr>
          <w:b/>
        </w:rPr>
        <w:t>Н</w:t>
      </w:r>
      <w:r w:rsidRPr="006E754B">
        <w:rPr>
          <w:b/>
        </w:rPr>
        <w:t xml:space="preserve">а </w:t>
      </w:r>
      <w:r>
        <w:rPr>
          <w:b/>
        </w:rPr>
        <w:t>проектирование и строительно-монтажные работы по устройству</w:t>
      </w:r>
      <w:r w:rsidRPr="006E754B">
        <w:rPr>
          <w:b/>
        </w:rPr>
        <w:t xml:space="preserve"> архитектурного</w:t>
      </w:r>
      <w:r>
        <w:rPr>
          <w:b/>
        </w:rPr>
        <w:t xml:space="preserve"> и</w:t>
      </w:r>
      <w:r w:rsidRPr="006E754B">
        <w:rPr>
          <w:b/>
        </w:rPr>
        <w:t xml:space="preserve"> декоративно-ландшафтного</w:t>
      </w:r>
      <w:r>
        <w:rPr>
          <w:b/>
        </w:rPr>
        <w:t xml:space="preserve"> освещения</w:t>
      </w:r>
      <w:r w:rsidRPr="006E754B">
        <w:rPr>
          <w:b/>
        </w:rPr>
        <w:t xml:space="preserve"> территории Эко-отеля «Изумрудный лес»</w:t>
      </w:r>
      <w:r>
        <w:rPr>
          <w:b/>
        </w:rPr>
        <w:t xml:space="preserve"> расположенного по адресу</w:t>
      </w:r>
      <w:r w:rsidR="001F5B8B" w:rsidRPr="001F5B8B">
        <w:rPr>
          <w:b/>
          <w:sz w:val="26"/>
          <w:szCs w:val="26"/>
        </w:rPr>
        <w:t xml:space="preserve">: </w:t>
      </w:r>
      <w:r w:rsidR="001F5B8B" w:rsidRPr="00E25C6A">
        <w:rPr>
          <w:b/>
        </w:rPr>
        <w:t xml:space="preserve">Россия, Московская область, Клинский </w:t>
      </w:r>
      <w:r w:rsidR="001F5B8B" w:rsidRPr="001F5B8B">
        <w:rPr>
          <w:b/>
          <w:sz w:val="26"/>
          <w:szCs w:val="26"/>
        </w:rPr>
        <w:t xml:space="preserve">муниципальный район, сельское поселение </w:t>
      </w:r>
      <w:proofErr w:type="spellStart"/>
      <w:r w:rsidR="001F5B8B" w:rsidRPr="001F5B8B">
        <w:rPr>
          <w:b/>
          <w:sz w:val="26"/>
          <w:szCs w:val="26"/>
        </w:rPr>
        <w:t>Нудольское</w:t>
      </w:r>
      <w:proofErr w:type="spellEnd"/>
      <w:r w:rsidR="001F5B8B" w:rsidRPr="001F5B8B">
        <w:rPr>
          <w:b/>
          <w:sz w:val="26"/>
          <w:szCs w:val="26"/>
        </w:rPr>
        <w:t xml:space="preserve">, вблизи п. </w:t>
      </w:r>
      <w:proofErr w:type="spellStart"/>
      <w:r w:rsidR="001F5B8B" w:rsidRPr="001F5B8B">
        <w:rPr>
          <w:b/>
          <w:sz w:val="26"/>
          <w:szCs w:val="26"/>
        </w:rPr>
        <w:t>Нарынка</w:t>
      </w:r>
      <w:proofErr w:type="spellEnd"/>
      <w:r w:rsidR="001F5B8B" w:rsidRPr="001F5B8B">
        <w:rPr>
          <w:b/>
          <w:sz w:val="26"/>
          <w:szCs w:val="26"/>
        </w:rPr>
        <w:t xml:space="preserve">, </w:t>
      </w:r>
    </w:p>
    <w:p w14:paraId="0C6C75C8" w14:textId="41E8A0FC" w:rsidR="00E61DF3" w:rsidRPr="001F5B8B" w:rsidRDefault="001F5B8B" w:rsidP="00E61DF3">
      <w:pPr>
        <w:ind w:firstLine="540"/>
        <w:jc w:val="center"/>
        <w:rPr>
          <w:b/>
          <w:sz w:val="26"/>
          <w:szCs w:val="26"/>
        </w:rPr>
      </w:pPr>
      <w:r w:rsidRPr="001F5B8B">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5A449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20</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90725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90725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90725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90725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90725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90725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90725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90725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90725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90725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90725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90725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90725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90725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90725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90725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90725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90725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90725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90725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B048E7" w:rsidRPr="00B048E7">
        <w:rPr>
          <w:sz w:val="24"/>
          <w:szCs w:val="24"/>
        </w:rPr>
        <w:t>«Комплекс «Серебряный Бор»</w:t>
      </w:r>
      <w:r w:rsidR="00802768" w:rsidRPr="00802768">
        <w:rPr>
          <w:sz w:val="24"/>
          <w:szCs w:val="24"/>
        </w:rPr>
        <w:t xml:space="preserve"> </w:t>
      </w:r>
      <w:r w:rsidRPr="00802768">
        <w:rPr>
          <w:sz w:val="24"/>
          <w:szCs w:val="24"/>
        </w:rPr>
        <w:t xml:space="preserve">- юридический адрес: </w:t>
      </w:r>
      <w:r w:rsidR="00B048E7" w:rsidRPr="00EC5DA2">
        <w:rPr>
          <w:sz w:val="22"/>
        </w:rPr>
        <w:t xml:space="preserve">123103, г. Москва, ул. Таманская, д.41, </w:t>
      </w:r>
      <w:proofErr w:type="spellStart"/>
      <w:r w:rsidR="00B048E7" w:rsidRPr="00EC5DA2">
        <w:rPr>
          <w:sz w:val="22"/>
        </w:rPr>
        <w:t>каб</w:t>
      </w:r>
      <w:proofErr w:type="spellEnd"/>
      <w:r w:rsidR="00B048E7" w:rsidRPr="00EC5DA2">
        <w:rPr>
          <w:sz w:val="22"/>
        </w:rPr>
        <w:t xml:space="preserve">. </w:t>
      </w:r>
      <w:r w:rsidR="00B048E7">
        <w:rPr>
          <w:sz w:val="22"/>
        </w:rPr>
        <w:t>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642325F8" w14:textId="025BA56A" w:rsidR="009C2BCA" w:rsidRPr="009C2BCA" w:rsidRDefault="009C2BCA" w:rsidP="009C2BCA">
      <w:pPr>
        <w:ind w:firstLine="0"/>
        <w:rPr>
          <w:sz w:val="24"/>
          <w:szCs w:val="24"/>
        </w:rPr>
      </w:pPr>
      <w:r w:rsidRPr="009C2BCA">
        <w:rPr>
          <w:sz w:val="24"/>
          <w:szCs w:val="24"/>
        </w:rPr>
        <w:t>Менеджер проектов Строительный департамент «Космос ОГ»</w:t>
      </w:r>
    </w:p>
    <w:p w14:paraId="50789639" w14:textId="13E00DF8" w:rsidR="0077416D" w:rsidRPr="00EA07CE" w:rsidRDefault="009C2BCA" w:rsidP="00E055AF">
      <w:pPr>
        <w:tabs>
          <w:tab w:val="num" w:pos="0"/>
        </w:tabs>
        <w:spacing w:line="240" w:lineRule="auto"/>
        <w:ind w:firstLine="0"/>
        <w:rPr>
          <w:color w:val="000000"/>
          <w:sz w:val="24"/>
          <w:szCs w:val="24"/>
        </w:rPr>
      </w:pPr>
      <w:r>
        <w:rPr>
          <w:color w:val="000000"/>
          <w:sz w:val="24"/>
          <w:szCs w:val="24"/>
        </w:rPr>
        <w:t>Виктор Волков</w:t>
      </w:r>
    </w:p>
    <w:p w14:paraId="3D27E8EA" w14:textId="45F2B072"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9C2BCA">
        <w:rPr>
          <w:sz w:val="24"/>
          <w:szCs w:val="24"/>
        </w:rPr>
        <w:t>25</w:t>
      </w:r>
      <w:r w:rsidR="00EA07CE" w:rsidRPr="006E6D5B">
        <w:rPr>
          <w:sz w:val="24"/>
          <w:szCs w:val="24"/>
        </w:rPr>
        <w:t xml:space="preserve">) </w:t>
      </w:r>
      <w:r w:rsidR="009C2BCA">
        <w:rPr>
          <w:sz w:val="24"/>
          <w:szCs w:val="24"/>
        </w:rPr>
        <w:t>433</w:t>
      </w:r>
      <w:r w:rsidR="00EA07CE" w:rsidRPr="006E6D5B">
        <w:rPr>
          <w:sz w:val="24"/>
          <w:szCs w:val="24"/>
        </w:rPr>
        <w:t xml:space="preserve"> </w:t>
      </w:r>
      <w:r w:rsidR="009C2BCA">
        <w:rPr>
          <w:sz w:val="24"/>
          <w:szCs w:val="24"/>
        </w:rPr>
        <w:t>41</w:t>
      </w:r>
      <w:r w:rsidR="00EA07CE" w:rsidRPr="006E6D5B">
        <w:rPr>
          <w:sz w:val="24"/>
          <w:szCs w:val="24"/>
        </w:rPr>
        <w:t xml:space="preserve"> </w:t>
      </w:r>
      <w:r w:rsidR="009C2BCA">
        <w:rPr>
          <w:sz w:val="24"/>
          <w:szCs w:val="24"/>
        </w:rPr>
        <w:t>67</w:t>
      </w:r>
    </w:p>
    <w:p w14:paraId="2C3BF181" w14:textId="1DB216D3"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3C094E" w:rsidRPr="006E6D5B">
        <w:rPr>
          <w:color w:val="000000"/>
          <w:sz w:val="24"/>
          <w:szCs w:val="24"/>
        </w:rPr>
        <w:t xml:space="preserve"> </w:t>
      </w:r>
      <w:hyperlink r:id="rId8" w:history="1">
        <w:r w:rsidR="009C2BCA" w:rsidRPr="0059444F">
          <w:rPr>
            <w:rStyle w:val="a4"/>
            <w:sz w:val="24"/>
            <w:szCs w:val="24"/>
            <w:lang w:val="en-US"/>
          </w:rPr>
          <w:t>VVolkov</w:t>
        </w:r>
        <w:r w:rsidR="009C2BCA" w:rsidRPr="0059444F">
          <w:rPr>
            <w:rStyle w:val="a4"/>
            <w:sz w:val="24"/>
            <w:szCs w:val="24"/>
          </w:rPr>
          <w:t>@</w:t>
        </w:r>
        <w:r w:rsidR="009C2BCA" w:rsidRPr="0059444F">
          <w:rPr>
            <w:rStyle w:val="a4"/>
            <w:sz w:val="24"/>
            <w:szCs w:val="24"/>
            <w:lang w:val="en-US"/>
          </w:rPr>
          <w:t>cosmosgroup</w:t>
        </w:r>
        <w:r w:rsidR="009C2BCA" w:rsidRPr="0059444F">
          <w:rPr>
            <w:rStyle w:val="a4"/>
            <w:sz w:val="24"/>
            <w:szCs w:val="24"/>
          </w:rPr>
          <w:t>.</w:t>
        </w:r>
        <w:proofErr w:type="spellStart"/>
        <w:r w:rsidR="009C2BCA" w:rsidRPr="0059444F">
          <w:rPr>
            <w:rStyle w:val="a4"/>
            <w:sz w:val="24"/>
            <w:szCs w:val="24"/>
            <w:lang w:val="en-US"/>
          </w:rPr>
          <w:t>ru</w:t>
        </w:r>
        <w:proofErr w:type="spellEnd"/>
      </w:hyperlink>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77777777" w:rsidR="003D3356" w:rsidRPr="00075C6E" w:rsidRDefault="00024909" w:rsidP="00BA218B">
      <w:pPr>
        <w:tabs>
          <w:tab w:val="num" w:pos="0"/>
        </w:tabs>
        <w:spacing w:line="240" w:lineRule="auto"/>
        <w:ind w:firstLine="0"/>
        <w:rPr>
          <w:sz w:val="24"/>
          <w:szCs w:val="24"/>
        </w:rPr>
      </w:pPr>
      <w:r w:rsidRPr="00075C6E">
        <w:rPr>
          <w:sz w:val="24"/>
          <w:szCs w:val="24"/>
        </w:rPr>
        <w:t>Директор департамента закупок</w:t>
      </w:r>
      <w:r w:rsidR="00BA218B" w:rsidRPr="00075C6E">
        <w:rPr>
          <w:sz w:val="24"/>
          <w:szCs w:val="24"/>
        </w:rPr>
        <w:t xml:space="preserve"> </w:t>
      </w:r>
    </w:p>
    <w:p w14:paraId="56C3B7A9" w14:textId="77777777" w:rsidR="003D3356" w:rsidRPr="00EA07CE" w:rsidRDefault="00024909" w:rsidP="00BA218B">
      <w:pPr>
        <w:tabs>
          <w:tab w:val="num" w:pos="0"/>
        </w:tabs>
        <w:spacing w:line="240" w:lineRule="auto"/>
        <w:ind w:firstLine="0"/>
        <w:rPr>
          <w:sz w:val="24"/>
          <w:szCs w:val="24"/>
        </w:rPr>
      </w:pPr>
      <w:r w:rsidRPr="00EA07CE">
        <w:rPr>
          <w:sz w:val="24"/>
          <w:szCs w:val="24"/>
        </w:rPr>
        <w:t>Лысенко Наталья</w:t>
      </w:r>
      <w:r w:rsidR="00BA218B" w:rsidRPr="00EA07CE">
        <w:rPr>
          <w:sz w:val="24"/>
          <w:szCs w:val="24"/>
        </w:rPr>
        <w:t xml:space="preserve">, </w:t>
      </w:r>
    </w:p>
    <w:p w14:paraId="2D69B50C" w14:textId="77777777" w:rsidR="00BA218B" w:rsidRPr="00EA07CE" w:rsidRDefault="00141A07" w:rsidP="00BA218B">
      <w:pPr>
        <w:tabs>
          <w:tab w:val="num" w:pos="0"/>
        </w:tabs>
        <w:spacing w:line="240" w:lineRule="auto"/>
        <w:ind w:firstLine="0"/>
        <w:rPr>
          <w:sz w:val="24"/>
          <w:szCs w:val="24"/>
          <w:lang w:val="en-US"/>
        </w:rPr>
      </w:pPr>
      <w:r w:rsidRPr="00EA07CE">
        <w:rPr>
          <w:sz w:val="24"/>
          <w:szCs w:val="24"/>
        </w:rPr>
        <w:t>Тел</w:t>
      </w:r>
      <w:r w:rsidRPr="00EA07CE">
        <w:rPr>
          <w:sz w:val="24"/>
          <w:szCs w:val="24"/>
          <w:lang w:val="en-US"/>
        </w:rPr>
        <w:t>.:</w:t>
      </w:r>
      <w:r w:rsidR="00BA218B" w:rsidRPr="00EA07CE">
        <w:rPr>
          <w:sz w:val="24"/>
          <w:szCs w:val="24"/>
          <w:lang w:val="en-US"/>
        </w:rPr>
        <w:t xml:space="preserve"> +7 (495) 234-1</w:t>
      </w:r>
      <w:r w:rsidR="00024909" w:rsidRPr="00EA07CE">
        <w:rPr>
          <w:sz w:val="24"/>
          <w:szCs w:val="24"/>
          <w:lang w:val="en-US"/>
        </w:rPr>
        <w:t>3</w:t>
      </w:r>
      <w:r w:rsidR="00BA218B" w:rsidRPr="00EA07CE">
        <w:rPr>
          <w:sz w:val="24"/>
          <w:szCs w:val="24"/>
          <w:lang w:val="en-US"/>
        </w:rPr>
        <w:t>-</w:t>
      </w:r>
      <w:r w:rsidR="00024909" w:rsidRPr="00EA07CE">
        <w:rPr>
          <w:sz w:val="24"/>
          <w:szCs w:val="24"/>
          <w:lang w:val="en-US"/>
        </w:rPr>
        <w:t>11</w:t>
      </w:r>
      <w:r w:rsidR="00BA218B" w:rsidRPr="00EA07CE">
        <w:rPr>
          <w:sz w:val="24"/>
          <w:szCs w:val="24"/>
          <w:lang w:val="en-US"/>
        </w:rPr>
        <w:t xml:space="preserve">, </w:t>
      </w:r>
      <w:r w:rsidR="003D3356" w:rsidRPr="00EA07CE">
        <w:rPr>
          <w:sz w:val="24"/>
          <w:szCs w:val="24"/>
          <w:lang w:val="en-US"/>
        </w:rPr>
        <w:t>E</w:t>
      </w:r>
      <w:r w:rsidR="00BA218B" w:rsidRPr="00EA07CE">
        <w:rPr>
          <w:sz w:val="24"/>
          <w:szCs w:val="24"/>
          <w:lang w:val="en-US"/>
        </w:rPr>
        <w:t>-mail:</w:t>
      </w:r>
      <w:r w:rsidR="00024909" w:rsidRPr="00EA07CE">
        <w:rPr>
          <w:sz w:val="24"/>
          <w:szCs w:val="24"/>
          <w:lang w:val="en-US"/>
        </w:rPr>
        <w:t xml:space="preserve"> </w:t>
      </w:r>
      <w:hyperlink r:id="rId9" w:history="1">
        <w:r w:rsidR="00024909" w:rsidRPr="00EA07CE">
          <w:rPr>
            <w:rStyle w:val="a4"/>
            <w:sz w:val="24"/>
            <w:szCs w:val="24"/>
            <w:lang w:val="en-US"/>
          </w:rPr>
          <w:t>nlisenko@hotelcosmos.ru</w:t>
        </w:r>
      </w:hyperlink>
    </w:p>
    <w:p w14:paraId="4B53615B" w14:textId="77777777" w:rsidR="00DA4F00" w:rsidRPr="00EA07CE" w:rsidRDefault="00DA4F00" w:rsidP="00BA218B">
      <w:pPr>
        <w:tabs>
          <w:tab w:val="num" w:pos="0"/>
        </w:tabs>
        <w:spacing w:line="240" w:lineRule="auto"/>
        <w:ind w:firstLine="0"/>
        <w:rPr>
          <w:sz w:val="24"/>
          <w:szCs w:val="24"/>
          <w:lang w:val="en-US"/>
        </w:rPr>
      </w:pPr>
    </w:p>
    <w:p w14:paraId="58CAAB49" w14:textId="77777777" w:rsidR="00DA4F00" w:rsidRPr="00EA07CE" w:rsidRDefault="00DA4F00" w:rsidP="00DA4F00">
      <w:pPr>
        <w:tabs>
          <w:tab w:val="num" w:pos="0"/>
        </w:tabs>
        <w:spacing w:line="240" w:lineRule="auto"/>
        <w:ind w:firstLine="0"/>
        <w:rPr>
          <w:sz w:val="24"/>
          <w:szCs w:val="24"/>
          <w:lang w:val="en-US"/>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proofErr w:type="spellStart"/>
        <w:r w:rsidR="00851961" w:rsidRPr="00EA07CE">
          <w:rPr>
            <w:rStyle w:val="a4"/>
            <w:sz w:val="24"/>
            <w:szCs w:val="24"/>
            <w:lang w:val="en-US"/>
          </w:rPr>
          <w:t>ru</w:t>
        </w:r>
        <w:proofErr w:type="spellEnd"/>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proofErr w:type="spellStart"/>
        <w:r w:rsidRPr="00EA07CE">
          <w:rPr>
            <w:rStyle w:val="a4"/>
            <w:sz w:val="24"/>
            <w:szCs w:val="24"/>
            <w:lang w:val="en-US"/>
          </w:rPr>
          <w:t>ru</w:t>
        </w:r>
        <w:proofErr w:type="spellEnd"/>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68886C68" w:rsidR="00E61DF3" w:rsidRPr="00907259" w:rsidRDefault="009B251A" w:rsidP="00E61DF3">
      <w:pPr>
        <w:tabs>
          <w:tab w:val="num" w:pos="0"/>
        </w:tabs>
        <w:spacing w:line="240" w:lineRule="auto"/>
        <w:ind w:firstLine="0"/>
        <w:rPr>
          <w:b/>
          <w:sz w:val="24"/>
          <w:szCs w:val="24"/>
        </w:rPr>
      </w:pPr>
      <w:r w:rsidRPr="00907259">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907259">
        <w:rPr>
          <w:b/>
          <w:sz w:val="24"/>
          <w:szCs w:val="24"/>
          <w:u w:val="single"/>
        </w:rPr>
        <w:t>18</w:t>
      </w:r>
      <w:r w:rsidRPr="00907259">
        <w:rPr>
          <w:b/>
          <w:sz w:val="24"/>
          <w:szCs w:val="24"/>
          <w:u w:val="single"/>
        </w:rPr>
        <w:t xml:space="preserve"> часов (местное время) </w:t>
      </w:r>
      <w:r w:rsidR="009C2BCA" w:rsidRPr="00907259">
        <w:rPr>
          <w:b/>
          <w:sz w:val="24"/>
          <w:szCs w:val="24"/>
          <w:u w:val="single"/>
        </w:rPr>
        <w:t>9</w:t>
      </w:r>
      <w:r w:rsidR="002B2783" w:rsidRPr="00907259">
        <w:rPr>
          <w:b/>
          <w:sz w:val="24"/>
          <w:szCs w:val="24"/>
          <w:u w:val="single"/>
        </w:rPr>
        <w:t xml:space="preserve"> </w:t>
      </w:r>
      <w:r w:rsidR="009C2BCA" w:rsidRPr="00907259">
        <w:rPr>
          <w:b/>
          <w:sz w:val="24"/>
          <w:szCs w:val="24"/>
          <w:u w:val="single"/>
        </w:rPr>
        <w:t>ию</w:t>
      </w:r>
      <w:r w:rsidR="00907259" w:rsidRPr="00907259">
        <w:rPr>
          <w:b/>
          <w:sz w:val="24"/>
          <w:szCs w:val="24"/>
          <w:u w:val="single"/>
        </w:rPr>
        <w:t>л</w:t>
      </w:r>
      <w:r w:rsidR="009C2BCA" w:rsidRPr="00907259">
        <w:rPr>
          <w:b/>
          <w:sz w:val="24"/>
          <w:szCs w:val="24"/>
          <w:u w:val="single"/>
        </w:rPr>
        <w:t>я</w:t>
      </w:r>
      <w:r w:rsidR="00F60E2A" w:rsidRPr="00907259">
        <w:rPr>
          <w:b/>
          <w:sz w:val="24"/>
          <w:szCs w:val="24"/>
          <w:u w:val="single"/>
        </w:rPr>
        <w:t xml:space="preserve"> </w:t>
      </w:r>
      <w:r w:rsidR="00A55C91" w:rsidRPr="00907259">
        <w:rPr>
          <w:b/>
          <w:sz w:val="24"/>
          <w:szCs w:val="24"/>
          <w:u w:val="single"/>
        </w:rPr>
        <w:t>20</w:t>
      </w:r>
      <w:r w:rsidR="00C076FD" w:rsidRPr="00907259">
        <w:rPr>
          <w:b/>
          <w:sz w:val="24"/>
          <w:szCs w:val="24"/>
          <w:u w:val="single"/>
        </w:rPr>
        <w:t>20</w:t>
      </w:r>
      <w:r w:rsidRPr="00907259">
        <w:rPr>
          <w:b/>
          <w:sz w:val="24"/>
          <w:szCs w:val="24"/>
          <w:u w:val="single"/>
        </w:rPr>
        <w:t xml:space="preserve">г. </w:t>
      </w:r>
      <w:r w:rsidR="00851961" w:rsidRPr="00907259">
        <w:rPr>
          <w:b/>
          <w:sz w:val="24"/>
          <w:szCs w:val="24"/>
          <w:u w:val="single"/>
        </w:rPr>
        <w:t>Документы и предложения, поданные после указанного срока, не принимаются.</w:t>
      </w:r>
      <w:r w:rsidR="00E61DF3" w:rsidRPr="00907259">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907259">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AA1A950" w14:textId="6F17EFEA" w:rsidR="00F60E2A" w:rsidRDefault="00E61DF3" w:rsidP="00075C6E">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A030BE" w:rsidRPr="00A030BE">
        <w:rPr>
          <w:sz w:val="24"/>
          <w:szCs w:val="24"/>
        </w:rPr>
        <w:t xml:space="preserve">выполнение работ по проектированию и </w:t>
      </w:r>
      <w:r w:rsidR="00A030BE">
        <w:rPr>
          <w:sz w:val="24"/>
          <w:szCs w:val="24"/>
        </w:rPr>
        <w:t>СМР</w:t>
      </w:r>
      <w:r w:rsidR="00A030BE" w:rsidRPr="00A030BE">
        <w:rPr>
          <w:sz w:val="24"/>
          <w:szCs w:val="24"/>
        </w:rPr>
        <w:t xml:space="preserve"> устройству </w:t>
      </w:r>
      <w:r w:rsidR="00DA309C" w:rsidRPr="00DA309C">
        <w:rPr>
          <w:sz w:val="24"/>
          <w:szCs w:val="24"/>
        </w:rPr>
        <w:t>архитектурного и декоративно-ландшафтного освещения территории Эко-отеля «Изумрудный лес»</w:t>
      </w:r>
      <w:r w:rsidR="00A030BE" w:rsidRPr="00A030BE">
        <w:rPr>
          <w:sz w:val="24"/>
          <w:szCs w:val="24"/>
        </w:rPr>
        <w:t xml:space="preserve"> расположенного по адресу: Россия, Московская область, Клинский муниципальный район, сельское поселение </w:t>
      </w:r>
      <w:proofErr w:type="spellStart"/>
      <w:r w:rsidR="00A030BE" w:rsidRPr="00A030BE">
        <w:rPr>
          <w:sz w:val="24"/>
          <w:szCs w:val="24"/>
        </w:rPr>
        <w:t>Нудольское</w:t>
      </w:r>
      <w:proofErr w:type="spellEnd"/>
      <w:r w:rsidR="00A030BE" w:rsidRPr="00A030BE">
        <w:rPr>
          <w:sz w:val="24"/>
          <w:szCs w:val="24"/>
        </w:rPr>
        <w:t xml:space="preserve">, вблизи п. </w:t>
      </w:r>
      <w:proofErr w:type="spellStart"/>
      <w:r w:rsidR="00A030BE" w:rsidRPr="00A030BE">
        <w:rPr>
          <w:sz w:val="24"/>
          <w:szCs w:val="24"/>
        </w:rPr>
        <w:t>Нарынка</w:t>
      </w:r>
      <w:proofErr w:type="spellEnd"/>
      <w:r w:rsidR="00A030BE" w:rsidRPr="00A030BE">
        <w:rPr>
          <w:sz w:val="24"/>
          <w:szCs w:val="24"/>
        </w:rPr>
        <w:t>, владение «Изумрудный лес»</w:t>
      </w:r>
      <w:r w:rsidR="005722B5">
        <w:rPr>
          <w:sz w:val="24"/>
          <w:szCs w:val="24"/>
        </w:rPr>
        <w:t>.</w:t>
      </w:r>
    </w:p>
    <w:p w14:paraId="179E9205" w14:textId="77777777" w:rsidR="00DA309C" w:rsidRDefault="00DA309C" w:rsidP="00E61DF3">
      <w:pPr>
        <w:tabs>
          <w:tab w:val="num" w:pos="0"/>
        </w:tabs>
        <w:spacing w:line="240" w:lineRule="auto"/>
        <w:ind w:firstLine="0"/>
        <w:rPr>
          <w:b/>
          <w:sz w:val="24"/>
          <w:szCs w:val="24"/>
        </w:rPr>
      </w:pPr>
    </w:p>
    <w:p w14:paraId="141CA1C8" w14:textId="402647D5"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7ECF5464" w14:textId="1B0633E4" w:rsidR="007B71A3" w:rsidRDefault="00F1721A" w:rsidP="00176EED">
      <w:pPr>
        <w:ind w:firstLine="0"/>
        <w:rPr>
          <w:bCs/>
          <w:iCs/>
          <w:sz w:val="24"/>
          <w:szCs w:val="24"/>
        </w:rPr>
      </w:pPr>
      <w:r w:rsidRPr="00B42515">
        <w:rPr>
          <w:b/>
          <w:bCs/>
          <w:iCs/>
          <w:color w:val="000000"/>
          <w:sz w:val="24"/>
          <w:szCs w:val="24"/>
        </w:rPr>
        <w:t>2.2.1</w:t>
      </w:r>
      <w:r>
        <w:rPr>
          <w:b/>
          <w:bCs/>
          <w:iCs/>
          <w:sz w:val="24"/>
          <w:szCs w:val="24"/>
        </w:rPr>
        <w:t xml:space="preserve"> </w:t>
      </w:r>
      <w:r w:rsidRPr="00922236">
        <w:rPr>
          <w:bCs/>
          <w:iCs/>
          <w:sz w:val="24"/>
          <w:szCs w:val="24"/>
        </w:rPr>
        <w:t xml:space="preserve">Предоставить коммерческое предложение </w:t>
      </w:r>
      <w:r w:rsidRPr="00922236">
        <w:rPr>
          <w:bCs/>
          <w:iCs/>
          <w:sz w:val="24"/>
          <w:szCs w:val="24"/>
          <w:u w:val="single"/>
        </w:rPr>
        <w:t>без НДС</w:t>
      </w:r>
      <w:r w:rsidR="00DF3F81" w:rsidRPr="00922236">
        <w:rPr>
          <w:bCs/>
          <w:iCs/>
          <w:sz w:val="24"/>
          <w:szCs w:val="24"/>
          <w:u w:val="single"/>
        </w:rPr>
        <w:t xml:space="preserve"> </w:t>
      </w:r>
      <w:r w:rsidRPr="00922236">
        <w:rPr>
          <w:bCs/>
          <w:iCs/>
          <w:sz w:val="24"/>
          <w:szCs w:val="24"/>
        </w:rPr>
        <w:t>согласно</w:t>
      </w:r>
      <w:r w:rsidRPr="00306103">
        <w:rPr>
          <w:b/>
          <w:bCs/>
          <w:iCs/>
          <w:sz w:val="24"/>
          <w:szCs w:val="24"/>
        </w:rPr>
        <w:t xml:space="preserve"> </w:t>
      </w:r>
      <w:r w:rsidR="00DC6CDB" w:rsidRPr="00306103">
        <w:rPr>
          <w:bCs/>
          <w:iCs/>
          <w:sz w:val="24"/>
          <w:szCs w:val="24"/>
        </w:rPr>
        <w:t>технического</w:t>
      </w:r>
      <w:r w:rsidR="007B71A3" w:rsidRPr="00306103">
        <w:rPr>
          <w:bCs/>
          <w:iCs/>
          <w:sz w:val="24"/>
          <w:szCs w:val="24"/>
        </w:rPr>
        <w:t xml:space="preserve"> </w:t>
      </w:r>
      <w:r w:rsidRPr="00306103">
        <w:rPr>
          <w:bCs/>
          <w:iCs/>
          <w:sz w:val="24"/>
          <w:szCs w:val="24"/>
        </w:rPr>
        <w:t xml:space="preserve">задания </w:t>
      </w:r>
      <w:r w:rsidR="00176EED" w:rsidRPr="00176EED">
        <w:rPr>
          <w:bCs/>
          <w:iCs/>
          <w:sz w:val="24"/>
          <w:szCs w:val="24"/>
        </w:rPr>
        <w:t xml:space="preserve">на проектирование </w:t>
      </w:r>
      <w:r w:rsidR="00885852">
        <w:rPr>
          <w:bCs/>
          <w:iCs/>
          <w:sz w:val="24"/>
          <w:szCs w:val="24"/>
        </w:rPr>
        <w:t xml:space="preserve">и СМР по </w:t>
      </w:r>
      <w:r w:rsidR="00885852" w:rsidRPr="00A030BE">
        <w:rPr>
          <w:sz w:val="24"/>
          <w:szCs w:val="24"/>
        </w:rPr>
        <w:t xml:space="preserve">устройству </w:t>
      </w:r>
      <w:r w:rsidR="00885852" w:rsidRPr="00DA309C">
        <w:rPr>
          <w:sz w:val="24"/>
          <w:szCs w:val="24"/>
        </w:rPr>
        <w:t>архитектурного и декоративно-ландшафтного освещения территории Эко-отеля «Изумрудный лес»</w:t>
      </w:r>
      <w:r w:rsidR="00885852" w:rsidRPr="00A030BE">
        <w:rPr>
          <w:sz w:val="24"/>
          <w:szCs w:val="24"/>
        </w:rPr>
        <w:t xml:space="preserve"> расположенного по адресу: Россия, Московская область, Клинский муниципальный район, сельское поселение </w:t>
      </w:r>
      <w:proofErr w:type="spellStart"/>
      <w:r w:rsidR="00885852" w:rsidRPr="00A030BE">
        <w:rPr>
          <w:sz w:val="24"/>
          <w:szCs w:val="24"/>
        </w:rPr>
        <w:t>Нудольское</w:t>
      </w:r>
      <w:proofErr w:type="spellEnd"/>
      <w:r w:rsidR="00885852" w:rsidRPr="00A030BE">
        <w:rPr>
          <w:sz w:val="24"/>
          <w:szCs w:val="24"/>
        </w:rPr>
        <w:t xml:space="preserve">, вблизи п. </w:t>
      </w:r>
      <w:proofErr w:type="spellStart"/>
      <w:r w:rsidR="00885852" w:rsidRPr="00A030BE">
        <w:rPr>
          <w:sz w:val="24"/>
          <w:szCs w:val="24"/>
        </w:rPr>
        <w:t>Нарынка</w:t>
      </w:r>
      <w:proofErr w:type="spellEnd"/>
      <w:r w:rsidR="00885852" w:rsidRPr="00A030BE">
        <w:rPr>
          <w:sz w:val="24"/>
          <w:szCs w:val="24"/>
        </w:rPr>
        <w:t>, владение «Изумрудный лес»</w:t>
      </w:r>
      <w:r w:rsidR="00885852">
        <w:rPr>
          <w:sz w:val="24"/>
          <w:szCs w:val="24"/>
        </w:rPr>
        <w:t>.</w:t>
      </w:r>
    </w:p>
    <w:p w14:paraId="7F06C41F" w14:textId="7127ACE1" w:rsidR="00237353" w:rsidRDefault="004B2423" w:rsidP="007B71A3">
      <w:pPr>
        <w:ind w:firstLine="708"/>
        <w:rPr>
          <w:sz w:val="24"/>
          <w:szCs w:val="24"/>
        </w:rPr>
      </w:pPr>
      <w:r w:rsidRPr="00306103">
        <w:rPr>
          <w:sz w:val="24"/>
          <w:szCs w:val="24"/>
        </w:rPr>
        <w:t>Предлагаемая участником размещения цена должна включать в себя</w:t>
      </w:r>
      <w:r w:rsidR="00C1178B" w:rsidRPr="00306103">
        <w:rPr>
          <w:sz w:val="24"/>
          <w:szCs w:val="24"/>
        </w:rPr>
        <w:t>:</w:t>
      </w:r>
      <w:r w:rsidRPr="00306103">
        <w:rPr>
          <w:sz w:val="24"/>
          <w:szCs w:val="24"/>
        </w:rPr>
        <w:t xml:space="preserve"> страховые сборы, таможенные расходы (если они есть), </w:t>
      </w:r>
      <w:r w:rsidR="009D5992" w:rsidRPr="00306103">
        <w:rPr>
          <w:sz w:val="24"/>
          <w:szCs w:val="24"/>
        </w:rPr>
        <w:t xml:space="preserve">доставку, </w:t>
      </w:r>
      <w:r w:rsidRPr="00306103">
        <w:rPr>
          <w:sz w:val="24"/>
          <w:szCs w:val="24"/>
        </w:rPr>
        <w:t xml:space="preserve">стоимость работ и другие накладные расходы </w:t>
      </w:r>
      <w:r w:rsidR="0071544E" w:rsidRPr="00306103">
        <w:rPr>
          <w:sz w:val="24"/>
          <w:szCs w:val="24"/>
        </w:rPr>
        <w:t>«Исполнителя».</w:t>
      </w:r>
    </w:p>
    <w:p w14:paraId="66F411D6" w14:textId="7EE9266F" w:rsidR="00922236" w:rsidRPr="00922236" w:rsidRDefault="00922236" w:rsidP="00922236">
      <w:pPr>
        <w:ind w:firstLine="0"/>
        <w:rPr>
          <w:bCs/>
          <w:iCs/>
          <w:color w:val="000000"/>
          <w:sz w:val="24"/>
          <w:szCs w:val="24"/>
        </w:rPr>
      </w:pPr>
      <w:r w:rsidRPr="00922236">
        <w:rPr>
          <w:b/>
          <w:bCs/>
          <w:iCs/>
          <w:color w:val="000000"/>
          <w:sz w:val="24"/>
          <w:szCs w:val="24"/>
        </w:rPr>
        <w:t>2.2.2</w:t>
      </w:r>
      <w:r w:rsidRPr="00922236">
        <w:rPr>
          <w:bCs/>
          <w:iCs/>
          <w:color w:val="000000"/>
          <w:sz w:val="24"/>
          <w:szCs w:val="24"/>
        </w:rPr>
        <w:t xml:space="preserve"> Стоимость работ по настоящему Договору определяется сметным расчетом</w:t>
      </w:r>
      <w:r w:rsidR="00075C6E">
        <w:rPr>
          <w:bCs/>
          <w:iCs/>
          <w:color w:val="000000"/>
          <w:sz w:val="24"/>
          <w:szCs w:val="24"/>
        </w:rPr>
        <w:t>,</w:t>
      </w:r>
      <w:r w:rsidRPr="00922236">
        <w:rPr>
          <w:bCs/>
          <w:iCs/>
          <w:color w:val="000000"/>
          <w:sz w:val="24"/>
          <w:szCs w:val="24"/>
        </w:rPr>
        <w:t xml:space="preserve"> составленным в нормативной базе ТСНБ по Московской области и 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922236">
        <w:rPr>
          <w:bCs/>
          <w:iCs/>
          <w:color w:val="000000"/>
          <w:sz w:val="24"/>
          <w:szCs w:val="24"/>
        </w:rPr>
        <w:t>Мосстройцены</w:t>
      </w:r>
      <w:proofErr w:type="spellEnd"/>
      <w:r w:rsidRPr="00922236">
        <w:rPr>
          <w:bCs/>
          <w:iCs/>
          <w:color w:val="000000"/>
          <w:sz w:val="24"/>
          <w:szCs w:val="24"/>
        </w:rPr>
        <w:t>».</w:t>
      </w:r>
    </w:p>
    <w:p w14:paraId="419ECA41" w14:textId="2A21E8E3" w:rsidR="00C1178B" w:rsidRPr="00922236" w:rsidRDefault="00922236" w:rsidP="00922236">
      <w:pPr>
        <w:ind w:firstLine="0"/>
        <w:rPr>
          <w:bCs/>
          <w:iCs/>
          <w:color w:val="000000"/>
          <w:sz w:val="24"/>
          <w:szCs w:val="24"/>
        </w:rPr>
      </w:pPr>
      <w:r>
        <w:rPr>
          <w:b/>
          <w:bCs/>
          <w:iCs/>
          <w:color w:val="000000"/>
          <w:sz w:val="24"/>
          <w:szCs w:val="24"/>
        </w:rPr>
        <w:t xml:space="preserve">2.2.3 </w:t>
      </w:r>
      <w:r w:rsidR="00DC2424" w:rsidRPr="00922236">
        <w:rPr>
          <w:bCs/>
          <w:iCs/>
          <w:color w:val="000000"/>
          <w:sz w:val="24"/>
          <w:szCs w:val="24"/>
        </w:rPr>
        <w:t>Заказчик принимает на себя оплату расходов за электроэнергию</w:t>
      </w:r>
      <w:r w:rsidR="00E905CA" w:rsidRPr="00922236">
        <w:rPr>
          <w:bCs/>
          <w:iCs/>
          <w:color w:val="000000"/>
          <w:sz w:val="24"/>
          <w:szCs w:val="24"/>
        </w:rPr>
        <w:t>, потребляемую</w:t>
      </w:r>
      <w:r w:rsidR="00DC2424" w:rsidRPr="00922236">
        <w:rPr>
          <w:bCs/>
          <w:iCs/>
          <w:color w:val="000000"/>
          <w:sz w:val="24"/>
          <w:szCs w:val="24"/>
        </w:rPr>
        <w:t xml:space="preserve"> Исполнителем в процессе выполнения работ в соответствии с Договором</w:t>
      </w:r>
      <w:r w:rsidR="00156D38" w:rsidRPr="00922236">
        <w:rPr>
          <w:bCs/>
          <w:iCs/>
          <w:color w:val="000000"/>
          <w:sz w:val="24"/>
          <w:szCs w:val="24"/>
        </w:rPr>
        <w:t>;</w:t>
      </w:r>
    </w:p>
    <w:p w14:paraId="24856162" w14:textId="09102CAE" w:rsidR="00691875" w:rsidRPr="00691875" w:rsidRDefault="00691875" w:rsidP="00691875">
      <w:pPr>
        <w:ind w:firstLine="0"/>
        <w:rPr>
          <w:bCs/>
          <w:iCs/>
          <w:color w:val="000000"/>
          <w:sz w:val="24"/>
          <w:szCs w:val="24"/>
        </w:rPr>
      </w:pPr>
      <w:r>
        <w:rPr>
          <w:b/>
          <w:bCs/>
          <w:iCs/>
          <w:color w:val="000000"/>
          <w:sz w:val="24"/>
          <w:szCs w:val="24"/>
        </w:rPr>
        <w:t xml:space="preserve">2.2.4 </w:t>
      </w:r>
      <w:r w:rsidRPr="00691875">
        <w:rPr>
          <w:bCs/>
          <w:iCs/>
          <w:color w:val="000000"/>
          <w:sz w:val="24"/>
          <w:szCs w:val="24"/>
        </w:rPr>
        <w:t xml:space="preserve">Заказчик перечисляет Подрядчику авансовый платеж на выполнение работ по настоящему Договору в </w:t>
      </w:r>
      <w:proofErr w:type="gramStart"/>
      <w:r w:rsidRPr="00691875">
        <w:rPr>
          <w:bCs/>
          <w:iCs/>
          <w:color w:val="000000"/>
          <w:sz w:val="24"/>
          <w:szCs w:val="24"/>
        </w:rPr>
        <w:t>размере  не</w:t>
      </w:r>
      <w:proofErr w:type="gramEnd"/>
      <w:r w:rsidRPr="00691875">
        <w:rPr>
          <w:bCs/>
          <w:iCs/>
          <w:color w:val="000000"/>
          <w:sz w:val="24"/>
          <w:szCs w:val="24"/>
        </w:rPr>
        <w:t xml:space="preserve"> более 30 %, в течение 5 (пяти) рабочих дней с даты подписания Сторонами настоящего Договора. Оплата остальной части от стоимости, оплачивается Заказчиком в течение 3 (трех) банковских дней с даты подписания актов по форме КС-2 и КС-3 по фактически выполненным работам.</w:t>
      </w:r>
    </w:p>
    <w:p w14:paraId="2BF5B549" w14:textId="77777777" w:rsidR="00691875" w:rsidRPr="00691875" w:rsidRDefault="00691875" w:rsidP="00691875">
      <w:pPr>
        <w:ind w:firstLine="0"/>
        <w:rPr>
          <w:bCs/>
          <w:iCs/>
          <w:color w:val="000000"/>
          <w:sz w:val="24"/>
          <w:szCs w:val="24"/>
        </w:rPr>
      </w:pPr>
      <w:r w:rsidRPr="00691875">
        <w:rPr>
          <w:bCs/>
          <w:iCs/>
          <w:color w:val="000000"/>
          <w:sz w:val="24"/>
          <w:szCs w:val="24"/>
        </w:rPr>
        <w:t>В течение 5 (пяти) рабочих дней с даты оплаты авансового платежа Подрядчик обязан предоставить Заказчику счет-фактуру на этот авансовый платёж.</w:t>
      </w:r>
    </w:p>
    <w:p w14:paraId="00824568" w14:textId="0C386C57" w:rsidR="005266AF" w:rsidRPr="00691875" w:rsidRDefault="00691875" w:rsidP="00691875">
      <w:pPr>
        <w:ind w:firstLine="0"/>
        <w:rPr>
          <w:bCs/>
          <w:iCs/>
          <w:color w:val="000000"/>
          <w:sz w:val="24"/>
          <w:szCs w:val="24"/>
        </w:rPr>
      </w:pPr>
      <w:r w:rsidRPr="00691875">
        <w:rPr>
          <w:bCs/>
          <w:iCs/>
          <w:color w:val="000000"/>
          <w:sz w:val="24"/>
          <w:szCs w:val="24"/>
        </w:rPr>
        <w:t>Обязательства Заказчика по оплате считаются исполненными с момента списания денежных средств с его расчетного счета</w:t>
      </w:r>
    </w:p>
    <w:p w14:paraId="6BBDD9C3" w14:textId="26CEF752" w:rsidR="0054498E" w:rsidRPr="00DA184B" w:rsidRDefault="00691875" w:rsidP="00691875">
      <w:pPr>
        <w:pStyle w:val="af2"/>
        <w:tabs>
          <w:tab w:val="left" w:pos="709"/>
        </w:tabs>
        <w:spacing w:line="240" w:lineRule="auto"/>
        <w:ind w:left="0" w:firstLine="0"/>
        <w:rPr>
          <w:sz w:val="24"/>
          <w:szCs w:val="24"/>
        </w:rPr>
      </w:pPr>
      <w:r w:rsidRPr="00691875">
        <w:rPr>
          <w:b/>
          <w:sz w:val="24"/>
          <w:szCs w:val="24"/>
          <w:lang w:val="ru-RU"/>
        </w:rPr>
        <w:t>2.2.5</w:t>
      </w:r>
      <w:r>
        <w:rPr>
          <w:sz w:val="24"/>
          <w:szCs w:val="24"/>
          <w:lang w:val="ru-RU"/>
        </w:rPr>
        <w:t xml:space="preserve"> </w:t>
      </w:r>
      <w:r w:rsidR="0054498E"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0054498E" w:rsidRPr="00DA184B">
        <w:rPr>
          <w:sz w:val="24"/>
          <w:szCs w:val="24"/>
        </w:rPr>
        <w:t xml:space="preserve"> удерживает денежную сумму в размере 5% от каждого платежа (Гарантийное удержание). </w:t>
      </w:r>
      <w:r w:rsidR="00A17DA0">
        <w:rPr>
          <w:sz w:val="24"/>
          <w:szCs w:val="24"/>
          <w:lang w:val="ru-RU"/>
        </w:rPr>
        <w:t>Исполнитель</w:t>
      </w:r>
      <w:r w:rsidR="0054498E"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5DF2DD5"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 xml:space="preserve">течение 10 дней с момента, с которого начинается течение гарантийного </w:t>
      </w:r>
      <w:proofErr w:type="gramStart"/>
      <w:r w:rsidR="0083485B" w:rsidRPr="003B27B9">
        <w:rPr>
          <w:sz w:val="24"/>
          <w:szCs w:val="24"/>
        </w:rPr>
        <w:t>срока</w:t>
      </w:r>
      <w:r w:rsidR="0083485B">
        <w:rPr>
          <w:sz w:val="24"/>
          <w:szCs w:val="24"/>
        </w:rPr>
        <w:t xml:space="preserve"> </w:t>
      </w:r>
      <w:r w:rsidRPr="003B27B9">
        <w:rPr>
          <w:sz w:val="24"/>
          <w:szCs w:val="24"/>
        </w:rPr>
        <w:t>;</w:t>
      </w:r>
      <w:proofErr w:type="gramEnd"/>
      <w:r w:rsidRPr="003B27B9">
        <w:rPr>
          <w:sz w:val="24"/>
          <w:szCs w:val="24"/>
        </w:rPr>
        <w:t xml:space="preserve"> </w:t>
      </w:r>
    </w:p>
    <w:p w14:paraId="359FC9C5" w14:textId="73286212"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28CBD92C" w:rsidR="0054498E"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3194558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2016</w:t>
      </w:r>
      <w:r w:rsidRPr="003528A6">
        <w:rPr>
          <w:sz w:val="24"/>
          <w:szCs w:val="24"/>
        </w:rPr>
        <w:t>-2019г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C279E65"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27475F" w:rsidRPr="0027475F">
        <w:rPr>
          <w:sz w:val="24"/>
          <w:szCs w:val="24"/>
        </w:rPr>
        <w:t>29</w:t>
      </w:r>
      <w:r w:rsidR="00BE2CB8">
        <w:rPr>
          <w:sz w:val="24"/>
          <w:szCs w:val="24"/>
        </w:rPr>
        <w:t xml:space="preserve"> </w:t>
      </w:r>
      <w:r w:rsidR="0027475F" w:rsidRPr="0027475F">
        <w:rPr>
          <w:sz w:val="24"/>
          <w:szCs w:val="24"/>
        </w:rPr>
        <w:t xml:space="preserve">февраля </w:t>
      </w:r>
      <w:r w:rsidR="00AB3E10">
        <w:rPr>
          <w:sz w:val="24"/>
          <w:szCs w:val="24"/>
        </w:rPr>
        <w:t>20</w:t>
      </w:r>
      <w:r w:rsidR="0027475F" w:rsidRPr="0027475F">
        <w:rPr>
          <w:sz w:val="24"/>
          <w:szCs w:val="24"/>
        </w:rPr>
        <w:t xml:space="preserve">20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1372B28A"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8</w:t>
      </w:r>
      <w:r w:rsidR="001E04A4">
        <w:rPr>
          <w:sz w:val="24"/>
          <w:szCs w:val="24"/>
        </w:rPr>
        <w:t xml:space="preserve"> и 2019</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46.8pt" o:ole="">
            <v:imagedata r:id="rId14" o:title=""/>
          </v:shape>
          <o:OLEObject Type="Embed" ProgID="Word.Document.12" ShapeID="_x0000_i1025" DrawAspect="Icon" ObjectID="_1654956303"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1355EE02" w:rsidR="00E61DF3" w:rsidRDefault="00F46AD4" w:rsidP="00F46AD4">
      <w:pPr>
        <w:tabs>
          <w:tab w:val="num" w:pos="0"/>
        </w:tabs>
        <w:spacing w:line="240" w:lineRule="auto"/>
        <w:ind w:firstLine="0"/>
        <w:rPr>
          <w:sz w:val="24"/>
          <w:szCs w:val="24"/>
        </w:rPr>
      </w:pPr>
      <w:r w:rsidRPr="00110E36">
        <w:rPr>
          <w:sz w:val="24"/>
          <w:szCs w:val="24"/>
          <w:highlight w:val="yellow"/>
        </w:rPr>
        <w:t xml:space="preserve">Срок подачи заявок для участия в Запросе предложений: с </w:t>
      </w:r>
      <w:r w:rsidR="00907259">
        <w:rPr>
          <w:sz w:val="24"/>
          <w:szCs w:val="24"/>
          <w:highlight w:val="yellow"/>
        </w:rPr>
        <w:t>18</w:t>
      </w:r>
      <w:r w:rsidRPr="00110E36">
        <w:rPr>
          <w:sz w:val="24"/>
          <w:szCs w:val="24"/>
          <w:highlight w:val="yellow"/>
        </w:rPr>
        <w:t xml:space="preserve"> час. </w:t>
      </w:r>
      <w:r w:rsidR="00366AFB" w:rsidRPr="00110E36">
        <w:rPr>
          <w:sz w:val="24"/>
          <w:szCs w:val="24"/>
          <w:highlight w:val="yellow"/>
        </w:rPr>
        <w:t>0</w:t>
      </w:r>
      <w:r w:rsidRPr="00110E36">
        <w:rPr>
          <w:sz w:val="24"/>
          <w:szCs w:val="24"/>
          <w:highlight w:val="yellow"/>
        </w:rPr>
        <w:t>0 мин.  «</w:t>
      </w:r>
      <w:r w:rsidR="00907259">
        <w:rPr>
          <w:sz w:val="24"/>
          <w:szCs w:val="24"/>
          <w:highlight w:val="yellow"/>
        </w:rPr>
        <w:t>29</w:t>
      </w:r>
      <w:r w:rsidRPr="00110E36">
        <w:rPr>
          <w:sz w:val="24"/>
          <w:szCs w:val="24"/>
          <w:highlight w:val="yellow"/>
        </w:rPr>
        <w:t xml:space="preserve">» </w:t>
      </w:r>
      <w:r w:rsidR="00075C6E" w:rsidRPr="00110E36">
        <w:rPr>
          <w:sz w:val="24"/>
          <w:szCs w:val="24"/>
          <w:highlight w:val="yellow"/>
        </w:rPr>
        <w:t>июня</w:t>
      </w:r>
      <w:r w:rsidR="0027475F" w:rsidRPr="00110E36">
        <w:rPr>
          <w:sz w:val="24"/>
          <w:szCs w:val="24"/>
          <w:highlight w:val="yellow"/>
        </w:rPr>
        <w:t xml:space="preserve"> </w:t>
      </w:r>
      <w:r w:rsidR="00A55C91" w:rsidRPr="00110E36">
        <w:rPr>
          <w:sz w:val="24"/>
          <w:szCs w:val="24"/>
          <w:highlight w:val="yellow"/>
        </w:rPr>
        <w:t>20</w:t>
      </w:r>
      <w:r w:rsidR="00E84F93" w:rsidRPr="00110E36">
        <w:rPr>
          <w:sz w:val="24"/>
          <w:szCs w:val="24"/>
          <w:highlight w:val="yellow"/>
        </w:rPr>
        <w:t>20</w:t>
      </w:r>
      <w:r w:rsidRPr="00110E36">
        <w:rPr>
          <w:sz w:val="24"/>
          <w:szCs w:val="24"/>
          <w:highlight w:val="yellow"/>
        </w:rPr>
        <w:t xml:space="preserve"> года до 1</w:t>
      </w:r>
      <w:r w:rsidR="003F1F10" w:rsidRPr="00110E36">
        <w:rPr>
          <w:sz w:val="24"/>
          <w:szCs w:val="24"/>
          <w:highlight w:val="yellow"/>
        </w:rPr>
        <w:t>8</w:t>
      </w:r>
      <w:r w:rsidR="009A00E3" w:rsidRPr="00110E36">
        <w:rPr>
          <w:sz w:val="24"/>
          <w:szCs w:val="24"/>
          <w:highlight w:val="yellow"/>
        </w:rPr>
        <w:t xml:space="preserve"> </w:t>
      </w:r>
      <w:r w:rsidRPr="00110E36">
        <w:rPr>
          <w:sz w:val="24"/>
          <w:szCs w:val="24"/>
          <w:highlight w:val="yellow"/>
        </w:rPr>
        <w:t>час. 00 мин. «</w:t>
      </w:r>
      <w:r w:rsidR="00907259">
        <w:rPr>
          <w:sz w:val="24"/>
          <w:szCs w:val="24"/>
          <w:highlight w:val="yellow"/>
        </w:rPr>
        <w:t>0</w:t>
      </w:r>
      <w:r w:rsidR="00075C6E" w:rsidRPr="00110E36">
        <w:rPr>
          <w:sz w:val="24"/>
          <w:szCs w:val="24"/>
          <w:highlight w:val="yellow"/>
        </w:rPr>
        <w:t>9</w:t>
      </w:r>
      <w:r w:rsidRPr="00110E36">
        <w:rPr>
          <w:sz w:val="24"/>
          <w:szCs w:val="24"/>
          <w:highlight w:val="yellow"/>
        </w:rPr>
        <w:t xml:space="preserve">» </w:t>
      </w:r>
      <w:r w:rsidR="00075C6E" w:rsidRPr="00110E36">
        <w:rPr>
          <w:sz w:val="24"/>
          <w:szCs w:val="24"/>
          <w:highlight w:val="yellow"/>
        </w:rPr>
        <w:t>ию</w:t>
      </w:r>
      <w:r w:rsidR="00907259">
        <w:rPr>
          <w:sz w:val="24"/>
          <w:szCs w:val="24"/>
          <w:highlight w:val="yellow"/>
        </w:rPr>
        <w:t>л</w:t>
      </w:r>
      <w:r w:rsidR="00075C6E" w:rsidRPr="00110E36">
        <w:rPr>
          <w:sz w:val="24"/>
          <w:szCs w:val="24"/>
          <w:highlight w:val="yellow"/>
        </w:rPr>
        <w:t>я</w:t>
      </w:r>
      <w:r w:rsidRPr="00110E36">
        <w:rPr>
          <w:sz w:val="24"/>
          <w:szCs w:val="24"/>
          <w:highlight w:val="yellow"/>
        </w:rPr>
        <w:t xml:space="preserve"> 2</w:t>
      </w:r>
      <w:r w:rsidR="00A55C91" w:rsidRPr="00110E36">
        <w:rPr>
          <w:sz w:val="24"/>
          <w:szCs w:val="24"/>
          <w:highlight w:val="yellow"/>
        </w:rPr>
        <w:t>0</w:t>
      </w:r>
      <w:r w:rsidR="00E84F93" w:rsidRPr="00110E36">
        <w:rPr>
          <w:sz w:val="24"/>
          <w:szCs w:val="24"/>
          <w:highlight w:val="yellow"/>
        </w:rPr>
        <w:t>20</w:t>
      </w:r>
      <w:r w:rsidR="00537D0C" w:rsidRPr="00110E36">
        <w:rPr>
          <w:sz w:val="24"/>
          <w:szCs w:val="24"/>
          <w:highlight w:val="yellow"/>
        </w:rPr>
        <w:t xml:space="preserve"> го</w:t>
      </w:r>
      <w:bookmarkStart w:id="81" w:name="_GoBack"/>
      <w:bookmarkEnd w:id="81"/>
      <w:r w:rsidR="00537D0C" w:rsidRPr="00110E36">
        <w:rPr>
          <w:sz w:val="24"/>
          <w:szCs w:val="24"/>
          <w:highlight w:val="yellow"/>
        </w:rPr>
        <w:t>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79"/>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ED5B349" w14:textId="2C93780A" w:rsidR="00E75958" w:rsidRDefault="00E75958" w:rsidP="00D111DD">
      <w:pPr>
        <w:tabs>
          <w:tab w:val="num" w:pos="0"/>
        </w:tabs>
        <w:spacing w:line="240" w:lineRule="auto"/>
        <w:ind w:firstLine="0"/>
        <w:rPr>
          <w:sz w:val="24"/>
          <w:szCs w:val="24"/>
        </w:rPr>
      </w:pPr>
    </w:p>
    <w:p w14:paraId="3070D5C0" w14:textId="19EC4128"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77777777" w:rsidR="00E75958" w:rsidRPr="00D317DC" w:rsidRDefault="00E75958" w:rsidP="001F5B8B">
            <w:pPr>
              <w:keepNext/>
              <w:keepLines/>
              <w:widowControl w:val="0"/>
              <w:snapToGrid w:val="0"/>
              <w:ind w:firstLine="0"/>
              <w:jc w:val="center"/>
              <w:rPr>
                <w:sz w:val="16"/>
                <w:szCs w:val="16"/>
              </w:rPr>
            </w:pPr>
            <w:r w:rsidRPr="00D317DC">
              <w:rPr>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r w:rsidR="00E75958" w:rsidRPr="00D317DC" w14:paraId="12685803"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19E9B5F"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7CBB6C64" w14:textId="77777777" w:rsidR="00E75958" w:rsidRPr="00D317DC" w:rsidRDefault="00E75958" w:rsidP="001F5B8B">
            <w:pPr>
              <w:pStyle w:val="af8"/>
              <w:numPr>
                <w:ilvl w:val="0"/>
                <w:numId w:val="34"/>
              </w:numPr>
              <w:rPr>
                <w:sz w:val="16"/>
                <w:szCs w:val="16"/>
              </w:rPr>
            </w:pPr>
            <w:r w:rsidRPr="00D317DC">
              <w:rPr>
                <w:sz w:val="16"/>
                <w:szCs w:val="16"/>
                <w:lang w:val="ru-RU"/>
              </w:rPr>
              <w:t>7</w:t>
            </w:r>
            <w:r w:rsidRPr="00D317DC">
              <w:rPr>
                <w:sz w:val="16"/>
                <w:szCs w:val="16"/>
              </w:rPr>
              <w:t>0 бал</w:t>
            </w:r>
            <w:r w:rsidRPr="00D317DC">
              <w:rPr>
                <w:sz w:val="16"/>
                <w:szCs w:val="16"/>
                <w:lang w:val="ru-RU"/>
              </w:rPr>
              <w:t>л</w:t>
            </w:r>
            <w:proofErr w:type="spellStart"/>
            <w:r w:rsidRPr="00D317DC">
              <w:rPr>
                <w:sz w:val="16"/>
                <w:szCs w:val="16"/>
              </w:rPr>
              <w:t>ов</w:t>
            </w:r>
            <w:proofErr w:type="spellEnd"/>
            <w:r w:rsidRPr="00D317DC">
              <w:rPr>
                <w:sz w:val="16"/>
                <w:szCs w:val="16"/>
              </w:rPr>
              <w:t xml:space="preserve"> </w:t>
            </w:r>
            <w:r w:rsidRPr="00D317DC">
              <w:rPr>
                <w:sz w:val="16"/>
                <w:szCs w:val="16"/>
                <w:lang w:val="ru-RU"/>
              </w:rPr>
              <w:t xml:space="preserve">(100 баллов * 70% вес критерия) </w:t>
            </w:r>
            <w:r w:rsidRPr="00D317DC">
              <w:rPr>
                <w:sz w:val="16"/>
                <w:szCs w:val="16"/>
              </w:rPr>
              <w:t>присваивается компании, предоставившей</w:t>
            </w:r>
            <w:r w:rsidRPr="00D317DC">
              <w:rPr>
                <w:sz w:val="16"/>
                <w:szCs w:val="16"/>
                <w:lang w:val="ru-RU"/>
              </w:rPr>
              <w:t xml:space="preserve"> минимальную цену</w:t>
            </w:r>
          </w:p>
          <w:p w14:paraId="3D3A3336" w14:textId="77777777" w:rsidR="00E75958" w:rsidRPr="00D317DC" w:rsidRDefault="00E75958" w:rsidP="001F5B8B">
            <w:pPr>
              <w:pStyle w:val="af8"/>
              <w:numPr>
                <w:ilvl w:val="0"/>
                <w:numId w:val="34"/>
              </w:numPr>
              <w:rPr>
                <w:sz w:val="16"/>
                <w:szCs w:val="16"/>
              </w:rPr>
            </w:pPr>
            <w:r w:rsidRPr="00D317DC">
              <w:rPr>
                <w:sz w:val="16"/>
                <w:szCs w:val="16"/>
                <w:lang w:val="ru-RU"/>
              </w:rPr>
              <w:t>Количество баллов у остальных участников считается по формуле: «</w:t>
            </w:r>
            <w:r w:rsidRPr="00D317DC">
              <w:rPr>
                <w:sz w:val="16"/>
                <w:szCs w:val="16"/>
                <w:lang w:val="en-US"/>
              </w:rPr>
              <w:t>x</w:t>
            </w:r>
            <w:r w:rsidRPr="00D317DC">
              <w:rPr>
                <w:sz w:val="16"/>
                <w:szCs w:val="16"/>
                <w:lang w:val="ru-RU"/>
              </w:rPr>
              <w:t>» / «</w:t>
            </w:r>
            <w:r w:rsidRPr="00D317DC">
              <w:rPr>
                <w:sz w:val="16"/>
                <w:szCs w:val="16"/>
                <w:lang w:val="en-US"/>
              </w:rPr>
              <w:t>y</w:t>
            </w:r>
            <w:r w:rsidRPr="00D317DC">
              <w:rPr>
                <w:sz w:val="16"/>
                <w:szCs w:val="16"/>
                <w:lang w:val="ru-RU"/>
              </w:rPr>
              <w:t>» * 70 баллов, где:</w:t>
            </w:r>
          </w:p>
          <w:p w14:paraId="7CCB7442" w14:textId="77777777" w:rsidR="00E75958" w:rsidRPr="00D317DC" w:rsidRDefault="00E75958" w:rsidP="001F5B8B">
            <w:pPr>
              <w:pStyle w:val="af8"/>
              <w:ind w:firstLine="0"/>
              <w:rPr>
                <w:sz w:val="16"/>
                <w:szCs w:val="16"/>
                <w:lang w:val="ru-RU"/>
              </w:rPr>
            </w:pPr>
            <w:r w:rsidRPr="00D317DC">
              <w:rPr>
                <w:sz w:val="16"/>
                <w:szCs w:val="16"/>
                <w:lang w:val="ru-RU"/>
              </w:rPr>
              <w:t>«</w:t>
            </w:r>
            <w:r w:rsidRPr="00D317DC">
              <w:rPr>
                <w:sz w:val="16"/>
                <w:szCs w:val="16"/>
                <w:lang w:val="en-US"/>
              </w:rPr>
              <w:t>x</w:t>
            </w:r>
            <w:r w:rsidRPr="00D317DC">
              <w:rPr>
                <w:sz w:val="16"/>
                <w:szCs w:val="16"/>
                <w:lang w:val="ru-RU"/>
              </w:rPr>
              <w:t>» минимальная цена из всех поступивших коммерческих предложений</w:t>
            </w:r>
          </w:p>
          <w:p w14:paraId="2437F96C" w14:textId="77777777"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цена, предложенная участником</w:t>
            </w:r>
          </w:p>
        </w:tc>
      </w:tr>
      <w:tr w:rsidR="00E75958" w:rsidRPr="00D317DC" w14:paraId="1F1181C3"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8053246" w14:textId="77777777" w:rsidR="00E75958" w:rsidRPr="00D317DC" w:rsidRDefault="00E75958" w:rsidP="001F5B8B">
            <w:pPr>
              <w:keepNext/>
              <w:keepLines/>
              <w:widowControl w:val="0"/>
              <w:snapToGrid w:val="0"/>
              <w:ind w:hanging="40"/>
              <w:jc w:val="center"/>
              <w:rPr>
                <w:sz w:val="16"/>
                <w:szCs w:val="16"/>
              </w:rPr>
            </w:pPr>
            <w:r w:rsidRPr="00D317DC">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667057"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14:paraId="16F062F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Наличие законченных объектов, соответствующих предмету запроса предложений, за последние 3 года</w:t>
            </w:r>
          </w:p>
        </w:tc>
      </w:tr>
      <w:tr w:rsidR="00E75958" w:rsidRPr="00D317DC" w14:paraId="42DABACA"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DABDC1F"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452879A3" w14:textId="77777777" w:rsidR="00E75958" w:rsidRPr="00D317DC" w:rsidRDefault="00E75958" w:rsidP="001F5B8B">
            <w:pPr>
              <w:pStyle w:val="af8"/>
              <w:numPr>
                <w:ilvl w:val="0"/>
                <w:numId w:val="36"/>
              </w:numPr>
              <w:rPr>
                <w:sz w:val="16"/>
                <w:szCs w:val="16"/>
              </w:rPr>
            </w:pPr>
            <w:r w:rsidRPr="00D317DC">
              <w:rPr>
                <w:sz w:val="16"/>
                <w:szCs w:val="16"/>
                <w:lang w:val="ru-RU"/>
              </w:rPr>
              <w:t>15</w:t>
            </w:r>
            <w:r w:rsidRPr="00D317DC">
              <w:rPr>
                <w:sz w:val="16"/>
                <w:szCs w:val="16"/>
              </w:rPr>
              <w:t xml:space="preserve"> бал</w:t>
            </w:r>
            <w:r w:rsidRPr="00D317DC">
              <w:rPr>
                <w:sz w:val="16"/>
                <w:szCs w:val="16"/>
                <w:lang w:val="ru-RU"/>
              </w:rPr>
              <w:t>л</w:t>
            </w:r>
            <w:proofErr w:type="spellStart"/>
            <w:r w:rsidRPr="00D317DC">
              <w:rPr>
                <w:sz w:val="16"/>
                <w:szCs w:val="16"/>
              </w:rPr>
              <w:t>ов</w:t>
            </w:r>
            <w:proofErr w:type="spellEnd"/>
            <w:r w:rsidRPr="00D317DC">
              <w:rPr>
                <w:sz w:val="16"/>
                <w:szCs w:val="16"/>
              </w:rPr>
              <w:t xml:space="preserve"> присваивается компании, предоставившей</w:t>
            </w:r>
            <w:r w:rsidRPr="00D317DC">
              <w:rPr>
                <w:sz w:val="16"/>
                <w:szCs w:val="16"/>
                <w:lang w:val="ru-RU"/>
              </w:rPr>
              <w:t xml:space="preserve"> максимальное кол-во объектов</w:t>
            </w:r>
          </w:p>
          <w:p w14:paraId="3CCF3D1A" w14:textId="77777777" w:rsidR="00E75958" w:rsidRPr="00D317DC" w:rsidRDefault="00E75958" w:rsidP="001F5B8B">
            <w:pPr>
              <w:pStyle w:val="af8"/>
              <w:numPr>
                <w:ilvl w:val="0"/>
                <w:numId w:val="36"/>
              </w:numPr>
              <w:rPr>
                <w:sz w:val="16"/>
                <w:szCs w:val="16"/>
              </w:rPr>
            </w:pPr>
            <w:r w:rsidRPr="00D317DC">
              <w:rPr>
                <w:sz w:val="16"/>
                <w:szCs w:val="16"/>
                <w:lang w:val="ru-RU"/>
              </w:rPr>
              <w:t>Количество баллов у остальных участников считается по формуле: «</w:t>
            </w:r>
            <w:r w:rsidRPr="00D317DC">
              <w:rPr>
                <w:sz w:val="16"/>
                <w:szCs w:val="16"/>
                <w:lang w:val="en-US"/>
              </w:rPr>
              <w:t>x</w:t>
            </w:r>
            <w:r w:rsidRPr="00D317DC">
              <w:rPr>
                <w:sz w:val="16"/>
                <w:szCs w:val="16"/>
                <w:lang w:val="ru-RU"/>
              </w:rPr>
              <w:t>» / «</w:t>
            </w:r>
            <w:r w:rsidRPr="00D317DC">
              <w:rPr>
                <w:sz w:val="16"/>
                <w:szCs w:val="16"/>
                <w:lang w:val="en-US"/>
              </w:rPr>
              <w:t>y</w:t>
            </w:r>
            <w:r w:rsidRPr="00D317DC">
              <w:rPr>
                <w:sz w:val="16"/>
                <w:szCs w:val="16"/>
                <w:lang w:val="ru-RU"/>
              </w:rPr>
              <w:t>» *15 баллов, где:</w:t>
            </w:r>
          </w:p>
          <w:p w14:paraId="7567F4F2" w14:textId="77777777" w:rsidR="00E75958" w:rsidRPr="00D317DC" w:rsidRDefault="00E75958" w:rsidP="001F5B8B">
            <w:pPr>
              <w:pStyle w:val="af8"/>
              <w:ind w:firstLine="0"/>
              <w:rPr>
                <w:sz w:val="16"/>
                <w:szCs w:val="16"/>
                <w:lang w:val="ru-RU"/>
              </w:rPr>
            </w:pPr>
            <w:r w:rsidRPr="00D317DC">
              <w:rPr>
                <w:sz w:val="16"/>
                <w:szCs w:val="16"/>
                <w:lang w:val="ru-RU"/>
              </w:rPr>
              <w:t>«</w:t>
            </w:r>
            <w:r w:rsidRPr="00D317DC">
              <w:rPr>
                <w:sz w:val="16"/>
                <w:szCs w:val="16"/>
                <w:lang w:val="en-US"/>
              </w:rPr>
              <w:t>x</w:t>
            </w:r>
            <w:r w:rsidRPr="00D317DC">
              <w:rPr>
                <w:sz w:val="16"/>
                <w:szCs w:val="16"/>
                <w:lang w:val="ru-RU"/>
              </w:rPr>
              <w:t>» количество законченных объектов у участника</w:t>
            </w:r>
          </w:p>
          <w:p w14:paraId="302CD456" w14:textId="77777777"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максимальное количество законченных объектов из всех заявок</w:t>
            </w:r>
          </w:p>
        </w:tc>
      </w:tr>
      <w:tr w:rsidR="00E75958" w:rsidRPr="00D317DC" w14:paraId="30F4B8D9"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5C3C9F2A" w14:textId="77777777" w:rsidR="00E75958" w:rsidRPr="00D317DC" w:rsidRDefault="00E75958" w:rsidP="001F5B8B">
            <w:pPr>
              <w:keepNext/>
              <w:keepLines/>
              <w:widowControl w:val="0"/>
              <w:snapToGrid w:val="0"/>
              <w:ind w:hanging="40"/>
              <w:jc w:val="center"/>
              <w:rPr>
                <w:sz w:val="16"/>
                <w:szCs w:val="16"/>
              </w:rPr>
            </w:pPr>
            <w:r w:rsidRPr="00D317DC">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1CB2E88D"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14:paraId="169017FB"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Своевременность сдачи объектов, соответствующих предмету запроса предложений, за последние 3 года (те же объекты, что и в п.2)</w:t>
            </w:r>
          </w:p>
        </w:tc>
      </w:tr>
      <w:tr w:rsidR="00E75958" w:rsidRPr="00E75958" w14:paraId="3A1AFBFF"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7642D4E"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192AE653" w14:textId="77777777" w:rsidR="00E75958" w:rsidRPr="00D317DC" w:rsidRDefault="00E75958" w:rsidP="001F5B8B">
            <w:pPr>
              <w:pStyle w:val="af8"/>
              <w:numPr>
                <w:ilvl w:val="0"/>
                <w:numId w:val="37"/>
              </w:numPr>
              <w:rPr>
                <w:sz w:val="16"/>
                <w:szCs w:val="16"/>
              </w:rPr>
            </w:pPr>
            <w:r w:rsidRPr="00D317DC">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sidRPr="00D317DC">
              <w:rPr>
                <w:sz w:val="16"/>
                <w:szCs w:val="16"/>
                <w:lang w:val="en-US"/>
              </w:rPr>
              <w:t>Y</w:t>
            </w:r>
            <w:r w:rsidRPr="00D317DC">
              <w:rPr>
                <w:sz w:val="16"/>
                <w:szCs w:val="16"/>
                <w:lang w:val="ru-RU"/>
              </w:rPr>
              <w:t> баллов (= 15 баллов / Х объектов)</w:t>
            </w:r>
          </w:p>
          <w:p w14:paraId="1DD2C197" w14:textId="77777777" w:rsidR="00E75958" w:rsidRPr="00D317DC" w:rsidRDefault="00E75958" w:rsidP="001F5B8B">
            <w:pPr>
              <w:pStyle w:val="af8"/>
              <w:numPr>
                <w:ilvl w:val="0"/>
                <w:numId w:val="37"/>
              </w:numPr>
              <w:rPr>
                <w:sz w:val="16"/>
                <w:szCs w:val="16"/>
              </w:rPr>
            </w:pPr>
            <w:r w:rsidRPr="00D317DC">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sidRPr="00D317DC">
              <w:rPr>
                <w:sz w:val="16"/>
                <w:szCs w:val="16"/>
                <w:lang w:val="en-US"/>
              </w:rPr>
              <w:t>Y</w:t>
            </w:r>
            <w:r w:rsidRPr="00D317DC">
              <w:rPr>
                <w:sz w:val="16"/>
                <w:szCs w:val="16"/>
                <w:lang w:val="ru-RU"/>
              </w:rPr>
              <w:t>/2 баллов</w:t>
            </w:r>
          </w:p>
          <w:p w14:paraId="3959839D" w14:textId="77777777" w:rsidR="00E75958" w:rsidRPr="00D317DC" w:rsidRDefault="00E75958" w:rsidP="001F5B8B">
            <w:pPr>
              <w:pStyle w:val="af8"/>
              <w:numPr>
                <w:ilvl w:val="0"/>
                <w:numId w:val="37"/>
              </w:numPr>
              <w:rPr>
                <w:sz w:val="16"/>
                <w:szCs w:val="16"/>
              </w:rPr>
            </w:pPr>
            <w:r w:rsidRPr="00D317DC">
              <w:rPr>
                <w:sz w:val="16"/>
                <w:szCs w:val="16"/>
                <w:lang w:val="ru-RU"/>
              </w:rPr>
              <w:t>По объектам с просрочкой от 100% и более баллы за своевременность не начисляются.</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7F6BD6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2D6695A3"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907259" w:rsidRDefault="00907259" w:rsidP="00B768EC">
      <w:pPr>
        <w:spacing w:line="240" w:lineRule="auto"/>
      </w:pPr>
      <w:r>
        <w:separator/>
      </w:r>
    </w:p>
  </w:endnote>
  <w:endnote w:type="continuationSeparator" w:id="0">
    <w:p w14:paraId="6BCC2CEA" w14:textId="77777777" w:rsidR="00907259" w:rsidRDefault="0090725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5430AB8B" w:rsidR="00907259" w:rsidRDefault="00907259">
    <w:pPr>
      <w:pStyle w:val="ae"/>
      <w:jc w:val="right"/>
    </w:pPr>
    <w:r>
      <w:fldChar w:fldCharType="begin"/>
    </w:r>
    <w:r>
      <w:instrText xml:space="preserve"> PAGE   \* MERGEFORMAT </w:instrText>
    </w:r>
    <w:r>
      <w:fldChar w:fldCharType="separate"/>
    </w:r>
    <w:r w:rsidR="0067504B">
      <w:rPr>
        <w:noProof/>
      </w:rPr>
      <w:t>12</w:t>
    </w:r>
    <w:r>
      <w:rPr>
        <w:noProof/>
      </w:rPr>
      <w:fldChar w:fldCharType="end"/>
    </w:r>
  </w:p>
  <w:p w14:paraId="1ABA5438" w14:textId="77777777" w:rsidR="00907259" w:rsidRDefault="009072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907259" w:rsidRDefault="00907259" w:rsidP="00B768EC">
      <w:pPr>
        <w:spacing w:line="240" w:lineRule="auto"/>
      </w:pPr>
      <w:r>
        <w:separator/>
      </w:r>
    </w:p>
  </w:footnote>
  <w:footnote w:type="continuationSeparator" w:id="0">
    <w:p w14:paraId="6F208E3B" w14:textId="77777777" w:rsidR="00907259" w:rsidRDefault="00907259" w:rsidP="00B768EC">
      <w:pPr>
        <w:spacing w:line="240" w:lineRule="auto"/>
      </w:pPr>
      <w:r>
        <w:continuationSeparator/>
      </w:r>
    </w:p>
  </w:footnote>
  <w:footnote w:id="1">
    <w:p w14:paraId="238E0BE3" w14:textId="77777777" w:rsidR="00907259" w:rsidRPr="00924719" w:rsidRDefault="0090725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907259" w:rsidRPr="00D86743" w:rsidRDefault="0090725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trackedChanges" w:enforcement="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36"/>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504B"/>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8585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0725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483C"/>
    <w:rsid w:val="009C6DBB"/>
    <w:rsid w:val="009C73B4"/>
    <w:rsid w:val="009C7687"/>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309C"/>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olkov@cosmosgroup.ru" TargetMode="External"/><Relationship Id="rId13" Type="http://schemas.openxmlformats.org/officeDocument/2006/relationships/hyperlink" Target="http://utp.sberbank-as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5CDF4-0A6B-48A3-865C-DDE1DCDA8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5980</Words>
  <Characters>34092</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39993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20</cp:revision>
  <cp:lastPrinted>2019-03-05T07:45:00Z</cp:lastPrinted>
  <dcterms:created xsi:type="dcterms:W3CDTF">2020-05-07T13:25:00Z</dcterms:created>
  <dcterms:modified xsi:type="dcterms:W3CDTF">2020-06-29T14:19:00Z</dcterms:modified>
</cp:coreProperties>
</file>