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C6C75C8" w14:textId="57E40BCD" w:rsidR="00E61DF3" w:rsidRPr="00A11817" w:rsidRDefault="003F1329" w:rsidP="00B6733B">
      <w:pPr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F1329">
        <w:rPr>
          <w:b/>
          <w:sz w:val="26"/>
          <w:szCs w:val="26"/>
        </w:rPr>
        <w:t>На</w:t>
      </w:r>
      <w:r w:rsidR="00FB07E2" w:rsidRPr="00FB07E2">
        <w:rPr>
          <w:b/>
          <w:sz w:val="26"/>
          <w:szCs w:val="26"/>
        </w:rPr>
        <w:t xml:space="preserve"> проектирование и монтаж установок газового пожаротушения для защиты помещений административного здания и здания спортивно - делового центра ООО «Алтай </w:t>
      </w:r>
      <w:proofErr w:type="spellStart"/>
      <w:r w:rsidR="00FB07E2" w:rsidRPr="00FB07E2">
        <w:rPr>
          <w:b/>
          <w:sz w:val="26"/>
          <w:szCs w:val="26"/>
        </w:rPr>
        <w:t>Резорт</w:t>
      </w:r>
      <w:proofErr w:type="spellEnd"/>
      <w:r w:rsidR="00FB07E2" w:rsidRPr="00FB07E2">
        <w:rPr>
          <w:b/>
          <w:sz w:val="26"/>
          <w:szCs w:val="26"/>
        </w:rPr>
        <w:t>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FB07E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</w:t>
      </w:r>
      <w:proofErr w:type="spellStart"/>
      <w:r w:rsidR="00802768" w:rsidRPr="00802768">
        <w:rPr>
          <w:sz w:val="24"/>
          <w:szCs w:val="24"/>
        </w:rPr>
        <w:t>Резорт</w:t>
      </w:r>
      <w:proofErr w:type="spellEnd"/>
      <w:r w:rsidR="00802768" w:rsidRPr="00802768">
        <w:rPr>
          <w:sz w:val="24"/>
          <w:szCs w:val="24"/>
        </w:rPr>
        <w:t xml:space="preserve">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 xml:space="preserve">649107, Республика Алтай, </w:t>
      </w:r>
      <w:proofErr w:type="spellStart"/>
      <w:r w:rsidR="00802768" w:rsidRPr="00802768">
        <w:rPr>
          <w:sz w:val="24"/>
          <w:szCs w:val="24"/>
        </w:rPr>
        <w:t>Майминский</w:t>
      </w:r>
      <w:proofErr w:type="spellEnd"/>
      <w:r w:rsidR="00802768" w:rsidRPr="00802768">
        <w:rPr>
          <w:sz w:val="24"/>
          <w:szCs w:val="24"/>
        </w:rPr>
        <w:t xml:space="preserve"> район, с. </w:t>
      </w:r>
      <w:proofErr w:type="spellStart"/>
      <w:r w:rsidR="00802768" w:rsidRPr="00802768">
        <w:rPr>
          <w:sz w:val="24"/>
          <w:szCs w:val="24"/>
        </w:rPr>
        <w:t>Бирюля</w:t>
      </w:r>
      <w:proofErr w:type="spellEnd"/>
      <w:r w:rsidR="00802768" w:rsidRPr="00802768">
        <w:rPr>
          <w:sz w:val="24"/>
          <w:szCs w:val="24"/>
        </w:rPr>
        <w:t>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 xml:space="preserve">«Алтай </w:t>
      </w:r>
      <w:proofErr w:type="spellStart"/>
      <w:r w:rsidR="006749B5" w:rsidRPr="00802768">
        <w:rPr>
          <w:sz w:val="24"/>
          <w:szCs w:val="24"/>
        </w:rPr>
        <w:t>Резорт</w:t>
      </w:r>
      <w:proofErr w:type="spellEnd"/>
      <w:r w:rsidR="006749B5" w:rsidRPr="00802768">
        <w:rPr>
          <w:sz w:val="24"/>
          <w:szCs w:val="24"/>
        </w:rPr>
        <w:t>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EAFE956" w14:textId="77777777" w:rsidR="00FB07E2" w:rsidRDefault="00FB07E2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proofErr w:type="spellStart"/>
      <w:r w:rsidRPr="00FB07E2">
        <w:rPr>
          <w:color w:val="000000"/>
          <w:sz w:val="24"/>
          <w:szCs w:val="24"/>
        </w:rPr>
        <w:t>Курумчин</w:t>
      </w:r>
      <w:proofErr w:type="spellEnd"/>
      <w:r w:rsidRPr="00FB07E2">
        <w:rPr>
          <w:color w:val="000000"/>
          <w:sz w:val="24"/>
          <w:szCs w:val="24"/>
        </w:rPr>
        <w:t xml:space="preserve"> Александр Николаевич </w:t>
      </w:r>
    </w:p>
    <w:p w14:paraId="3F1F3B8A" w14:textId="71570BF1" w:rsidR="00F46D8F" w:rsidRPr="00FB07E2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FB07E2">
        <w:rPr>
          <w:color w:val="000000"/>
          <w:sz w:val="24"/>
          <w:szCs w:val="24"/>
          <w:lang w:val="en-US"/>
        </w:rPr>
        <w:t xml:space="preserve">.: </w:t>
      </w:r>
      <w:r w:rsidR="00FB07E2" w:rsidRPr="00FB07E2">
        <w:rPr>
          <w:color w:val="000000"/>
          <w:sz w:val="24"/>
          <w:szCs w:val="24"/>
          <w:lang w:val="en-US"/>
        </w:rPr>
        <w:t>+7 (983) 328-</w:t>
      </w:r>
      <w:r w:rsidR="00FB07E2">
        <w:rPr>
          <w:color w:val="000000"/>
          <w:sz w:val="24"/>
          <w:szCs w:val="24"/>
          <w:lang w:val="en-US"/>
        </w:rPr>
        <w:t>64-</w:t>
      </w:r>
      <w:r w:rsidR="00FB07E2" w:rsidRPr="00FB07E2">
        <w:rPr>
          <w:color w:val="000000"/>
          <w:sz w:val="24"/>
          <w:szCs w:val="24"/>
          <w:lang w:val="en-US"/>
        </w:rPr>
        <w:t>86</w:t>
      </w:r>
      <w:r w:rsidR="005F178C" w:rsidRPr="00FB07E2">
        <w:rPr>
          <w:color w:val="000000"/>
          <w:sz w:val="24"/>
          <w:szCs w:val="24"/>
          <w:lang w:val="en-US"/>
        </w:rPr>
        <w:t xml:space="preserve">, </w:t>
      </w:r>
      <w:r w:rsidRPr="006749B5">
        <w:rPr>
          <w:color w:val="000000"/>
          <w:sz w:val="24"/>
          <w:szCs w:val="24"/>
          <w:lang w:val="en-US"/>
        </w:rPr>
        <w:t>E</w:t>
      </w:r>
      <w:r w:rsidRPr="00FB07E2">
        <w:rPr>
          <w:color w:val="000000"/>
          <w:sz w:val="24"/>
          <w:szCs w:val="24"/>
          <w:lang w:val="en-US"/>
        </w:rPr>
        <w:t>-</w:t>
      </w:r>
      <w:r w:rsidRPr="006749B5">
        <w:rPr>
          <w:color w:val="000000"/>
          <w:sz w:val="24"/>
          <w:szCs w:val="24"/>
          <w:lang w:val="en-US"/>
        </w:rPr>
        <w:t>mail</w:t>
      </w:r>
      <w:r w:rsidRPr="00FB07E2">
        <w:rPr>
          <w:color w:val="000000"/>
          <w:sz w:val="24"/>
          <w:szCs w:val="24"/>
          <w:lang w:val="en-US"/>
        </w:rPr>
        <w:t>:</w:t>
      </w:r>
      <w:r w:rsidR="003C094E" w:rsidRPr="00FB07E2">
        <w:rPr>
          <w:color w:val="000000"/>
          <w:sz w:val="24"/>
          <w:szCs w:val="24"/>
          <w:lang w:val="en-US"/>
        </w:rPr>
        <w:t xml:space="preserve"> </w:t>
      </w:r>
      <w:r w:rsidR="00FB07E2" w:rsidRPr="00FB07E2">
        <w:rPr>
          <w:sz w:val="24"/>
          <w:szCs w:val="24"/>
          <w:lang w:val="en-US"/>
        </w:rPr>
        <w:t>AKurumchin@cosmosgroup.ru</w:t>
      </w:r>
    </w:p>
    <w:p w14:paraId="3FC2F05D" w14:textId="04BF65ED" w:rsidR="006749B5" w:rsidRPr="00FB07E2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3EE4FFCE" w14:textId="7695E41D" w:rsidR="005F178C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5F178C">
        <w:rPr>
          <w:sz w:val="24"/>
          <w:szCs w:val="24"/>
          <w:u w:val="single"/>
        </w:rPr>
        <w:t xml:space="preserve">Заместитель директора департамента закупок, </w:t>
      </w:r>
    </w:p>
    <w:p w14:paraId="67AD74CD" w14:textId="77777777" w:rsid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5F178C">
        <w:rPr>
          <w:sz w:val="24"/>
          <w:szCs w:val="24"/>
        </w:rPr>
        <w:t xml:space="preserve">Матвеева Ирина, </w:t>
      </w:r>
    </w:p>
    <w:p w14:paraId="4B53615B" w14:textId="1185B2D6" w:rsidR="00DA4F00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5F178C">
        <w:rPr>
          <w:sz w:val="24"/>
          <w:szCs w:val="24"/>
        </w:rPr>
        <w:t>ел</w:t>
      </w:r>
      <w:r w:rsidRPr="005F178C">
        <w:rPr>
          <w:sz w:val="24"/>
          <w:szCs w:val="24"/>
          <w:lang w:val="en-US"/>
        </w:rPr>
        <w:t>. +7 (495) 234-12-96, E-mail: imatveeva@hotelcosmos.ru</w:t>
      </w:r>
    </w:p>
    <w:p w14:paraId="58CAAB49" w14:textId="77777777" w:rsidR="00DA4F00" w:rsidRPr="005F178C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9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121A4F7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FB07E2">
        <w:rPr>
          <w:b/>
          <w:sz w:val="24"/>
          <w:szCs w:val="24"/>
          <w:u w:val="single"/>
        </w:rPr>
        <w:t>16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FB07E2">
        <w:rPr>
          <w:b/>
          <w:sz w:val="24"/>
          <w:szCs w:val="24"/>
          <w:u w:val="single"/>
        </w:rPr>
        <w:t>июл</w:t>
      </w:r>
      <w:r w:rsidR="00B6733B">
        <w:rPr>
          <w:b/>
          <w:sz w:val="24"/>
          <w:szCs w:val="24"/>
          <w:u w:val="single"/>
        </w:rPr>
        <w:t>я</w:t>
      </w:r>
      <w:r w:rsidR="00102075">
        <w:rPr>
          <w:b/>
          <w:sz w:val="24"/>
          <w:szCs w:val="24"/>
          <w:u w:val="single"/>
        </w:rPr>
        <w:t xml:space="preserve">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0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1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324B76E3" w14:textId="2E7E0A67" w:rsidR="00B96272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FB07E2">
        <w:rPr>
          <w:kern w:val="24"/>
          <w:sz w:val="24"/>
          <w:szCs w:val="24"/>
        </w:rPr>
        <w:t>п</w:t>
      </w:r>
      <w:r w:rsidR="00FB07E2" w:rsidRPr="00FB07E2">
        <w:rPr>
          <w:kern w:val="24"/>
          <w:sz w:val="24"/>
          <w:szCs w:val="24"/>
        </w:rPr>
        <w:t>роектирование и монтаж установок газового пожаротушения с системой удаления газов и дыма после пожара для следующих помещений защиты: общего и строительного архивов административного здания и склада службы анимации, кинопроекционной-серверной здания спортивно - дел</w:t>
      </w:r>
      <w:r w:rsidR="00FB07E2">
        <w:rPr>
          <w:kern w:val="24"/>
          <w:sz w:val="24"/>
          <w:szCs w:val="24"/>
        </w:rPr>
        <w:t xml:space="preserve">ового центра ООО «Алтай </w:t>
      </w:r>
      <w:proofErr w:type="spellStart"/>
      <w:r w:rsidR="00FB07E2">
        <w:rPr>
          <w:kern w:val="24"/>
          <w:sz w:val="24"/>
          <w:szCs w:val="24"/>
        </w:rPr>
        <w:t>Резорт</w:t>
      </w:r>
      <w:proofErr w:type="spellEnd"/>
      <w:r w:rsidR="00FB07E2">
        <w:rPr>
          <w:kern w:val="24"/>
          <w:sz w:val="24"/>
          <w:szCs w:val="24"/>
        </w:rPr>
        <w:t>»</w:t>
      </w:r>
      <w:r w:rsidR="00B6733B">
        <w:rPr>
          <w:kern w:val="24"/>
          <w:sz w:val="24"/>
          <w:szCs w:val="24"/>
        </w:rPr>
        <w:t>,</w:t>
      </w:r>
      <w:r w:rsidR="00B6733B" w:rsidRPr="00B6733B">
        <w:rPr>
          <w:kern w:val="24"/>
          <w:sz w:val="24"/>
          <w:szCs w:val="24"/>
        </w:rPr>
        <w:t xml:space="preserve"> </w:t>
      </w:r>
      <w:r w:rsidR="003F1329" w:rsidRPr="003F1329">
        <w:rPr>
          <w:kern w:val="24"/>
          <w:sz w:val="24"/>
          <w:szCs w:val="24"/>
        </w:rPr>
        <w:t xml:space="preserve">по адресу: Республика Алтай, </w:t>
      </w:r>
      <w:proofErr w:type="spellStart"/>
      <w:r w:rsidR="003F1329" w:rsidRPr="003F1329">
        <w:rPr>
          <w:kern w:val="24"/>
          <w:sz w:val="24"/>
          <w:szCs w:val="24"/>
        </w:rPr>
        <w:t>Майминский</w:t>
      </w:r>
      <w:proofErr w:type="spellEnd"/>
      <w:r w:rsidR="003F1329" w:rsidRPr="003F1329">
        <w:rPr>
          <w:kern w:val="24"/>
          <w:sz w:val="24"/>
          <w:szCs w:val="24"/>
        </w:rPr>
        <w:t xml:space="preserve"> район, </w:t>
      </w:r>
      <w:proofErr w:type="spellStart"/>
      <w:r w:rsidR="003F1329" w:rsidRPr="003F1329">
        <w:rPr>
          <w:kern w:val="24"/>
          <w:sz w:val="24"/>
          <w:szCs w:val="24"/>
        </w:rPr>
        <w:t>Бирюлинское</w:t>
      </w:r>
      <w:proofErr w:type="spellEnd"/>
      <w:r w:rsidR="003F1329" w:rsidRPr="003F1329">
        <w:rPr>
          <w:kern w:val="24"/>
          <w:sz w:val="24"/>
          <w:szCs w:val="24"/>
        </w:rPr>
        <w:t xml:space="preserve"> сельское поселение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38933D41" w:rsidR="007B71A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FB07E2" w:rsidRPr="00FB07E2">
        <w:rPr>
          <w:bCs/>
          <w:iCs/>
          <w:sz w:val="24"/>
          <w:szCs w:val="24"/>
        </w:rPr>
        <w:t xml:space="preserve">на проектирование и монтаж установок газового пожаротушения для защиты </w:t>
      </w:r>
      <w:proofErr w:type="gramStart"/>
      <w:r w:rsidR="00FB07E2" w:rsidRPr="00FB07E2">
        <w:rPr>
          <w:bCs/>
          <w:iCs/>
          <w:sz w:val="24"/>
          <w:szCs w:val="24"/>
        </w:rPr>
        <w:t>помещений  административного</w:t>
      </w:r>
      <w:proofErr w:type="gramEnd"/>
      <w:r w:rsidR="00FB07E2" w:rsidRPr="00FB07E2">
        <w:rPr>
          <w:bCs/>
          <w:iCs/>
          <w:sz w:val="24"/>
          <w:szCs w:val="24"/>
        </w:rPr>
        <w:t xml:space="preserve"> здания и здания спортивно - делового центра ООО «Алтай </w:t>
      </w:r>
      <w:proofErr w:type="spellStart"/>
      <w:r w:rsidR="00FB07E2" w:rsidRPr="00FB07E2">
        <w:rPr>
          <w:bCs/>
          <w:iCs/>
          <w:sz w:val="24"/>
          <w:szCs w:val="24"/>
        </w:rPr>
        <w:t>Резорт</w:t>
      </w:r>
      <w:proofErr w:type="spellEnd"/>
      <w:r w:rsidR="00FB07E2" w:rsidRPr="00FB07E2">
        <w:rPr>
          <w:bCs/>
          <w:iCs/>
          <w:sz w:val="24"/>
          <w:szCs w:val="24"/>
        </w:rPr>
        <w:t>»</w:t>
      </w:r>
      <w:r w:rsidR="00FB07E2">
        <w:rPr>
          <w:bCs/>
          <w:iCs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7C448AC6" w14:textId="77777777" w:rsidR="003F1329" w:rsidRDefault="00DC2424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41DCD071" w14:textId="15B503C4" w:rsidR="003F1329" w:rsidRPr="003F1329" w:rsidRDefault="003F1329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3F1329">
        <w:rPr>
          <w:sz w:val="24"/>
          <w:szCs w:val="24"/>
        </w:rPr>
        <w:t xml:space="preserve">В течение </w:t>
      </w:r>
      <w:r w:rsidR="005B12EA">
        <w:rPr>
          <w:sz w:val="24"/>
          <w:szCs w:val="24"/>
          <w:lang w:val="ru-RU"/>
        </w:rPr>
        <w:t>7</w:t>
      </w:r>
      <w:r w:rsidRPr="003F1329">
        <w:rPr>
          <w:sz w:val="24"/>
          <w:szCs w:val="24"/>
        </w:rPr>
        <w:t>-</w:t>
      </w:r>
      <w:proofErr w:type="spellStart"/>
      <w:r w:rsidRPr="003F1329">
        <w:rPr>
          <w:sz w:val="24"/>
          <w:szCs w:val="24"/>
        </w:rPr>
        <w:t>ти</w:t>
      </w:r>
      <w:proofErr w:type="spellEnd"/>
      <w:r w:rsidRPr="003F1329">
        <w:rPr>
          <w:sz w:val="24"/>
          <w:szCs w:val="24"/>
        </w:rPr>
        <w:t xml:space="preserve"> (</w:t>
      </w:r>
      <w:r w:rsidR="005B12EA">
        <w:rPr>
          <w:sz w:val="24"/>
          <w:szCs w:val="24"/>
          <w:lang w:val="ru-RU"/>
        </w:rPr>
        <w:t>сем</w:t>
      </w:r>
      <w:r w:rsidRPr="003F1329">
        <w:rPr>
          <w:sz w:val="24"/>
          <w:szCs w:val="24"/>
        </w:rPr>
        <w:t>и) рабочих дней с момента подписания сторонами Договора Заказчик перечисляет на расчетный счет Подрядч</w:t>
      </w:r>
      <w:r w:rsidR="005B12EA">
        <w:rPr>
          <w:sz w:val="24"/>
          <w:szCs w:val="24"/>
        </w:rPr>
        <w:t>ика авансовый платеж в размере 3</w:t>
      </w:r>
      <w:r w:rsidRPr="003F1329">
        <w:rPr>
          <w:sz w:val="24"/>
          <w:szCs w:val="24"/>
        </w:rPr>
        <w:t>0% от Цены Договора</w:t>
      </w:r>
      <w:r>
        <w:rPr>
          <w:sz w:val="24"/>
          <w:szCs w:val="24"/>
          <w:lang w:val="ru-RU"/>
        </w:rPr>
        <w:t>.</w:t>
      </w:r>
    </w:p>
    <w:p w14:paraId="4479D328" w14:textId="1402404D" w:rsidR="00C473ED" w:rsidRPr="00C473ED" w:rsidRDefault="005B12EA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>Оставшиеся 7</w:t>
      </w:r>
      <w:r w:rsidR="00F9276E" w:rsidRPr="00F9276E">
        <w:rPr>
          <w:sz w:val="24"/>
          <w:szCs w:val="24"/>
        </w:rPr>
        <w:t>0% от Цены Договора</w:t>
      </w:r>
      <w:r w:rsidR="00F9276E">
        <w:rPr>
          <w:sz w:val="24"/>
          <w:szCs w:val="24"/>
          <w:lang w:val="ru-RU"/>
        </w:rPr>
        <w:t xml:space="preserve"> </w:t>
      </w:r>
      <w:r w:rsidR="00AA0215" w:rsidRPr="00AA0215">
        <w:rPr>
          <w:sz w:val="24"/>
          <w:szCs w:val="24"/>
        </w:rPr>
        <w:t>Заказчик перечисляет на расчетный счет Подрядчика в течение 14 (Четырнадцати) рабочих дней с момента подписания сторонами финального акта сдачи-приемки выполненных работ, и предоставления товарных накладных (товарно-транспортных накладных на поставленные материалы</w:t>
      </w:r>
      <w:r w:rsidRPr="005B12EA">
        <w:rPr>
          <w:sz w:val="24"/>
          <w:szCs w:val="24"/>
        </w:rPr>
        <w:t>.</w:t>
      </w: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proofErr w:type="spellStart"/>
      <w:r w:rsidR="009D1497" w:rsidRPr="00C473ED">
        <w:rPr>
          <w:color w:val="FF0000"/>
          <w:sz w:val="24"/>
          <w:szCs w:val="24"/>
        </w:rPr>
        <w:t>енообразование</w:t>
      </w:r>
      <w:proofErr w:type="spellEnd"/>
      <w:r w:rsidR="009D1497" w:rsidRPr="00C473ED">
        <w:rPr>
          <w:color w:val="FF0000"/>
          <w:sz w:val="24"/>
          <w:szCs w:val="24"/>
        </w:rPr>
        <w:t xml:space="preserve">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lastRenderedPageBreak/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67885C2B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AA0215">
        <w:rPr>
          <w:sz w:val="24"/>
          <w:szCs w:val="24"/>
        </w:rPr>
        <w:t>мая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 xml:space="preserve">. вследствие возможной не благонадежности или не </w:t>
      </w:r>
      <w:r w:rsidRPr="002A1B83">
        <w:rPr>
          <w:sz w:val="24"/>
          <w:szCs w:val="24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2" o:title=""/>
          </v:shape>
          <o:OLEObject Type="Embed" ProgID="Word.Document.12" ShapeID="_x0000_i1025" DrawAspect="Icon" ObjectID="_1686649870" r:id="rId13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</w:t>
      </w:r>
      <w:r w:rsidRPr="00E95D51">
        <w:rPr>
          <w:sz w:val="24"/>
          <w:szCs w:val="24"/>
        </w:rPr>
        <w:lastRenderedPageBreak/>
        <w:t>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0BD10804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6050A2">
        <w:rPr>
          <w:sz w:val="24"/>
          <w:szCs w:val="24"/>
        </w:rPr>
        <w:t>1</w:t>
      </w:r>
      <w:r w:rsidR="00AA0215">
        <w:rPr>
          <w:sz w:val="24"/>
          <w:szCs w:val="24"/>
        </w:rPr>
        <w:t>9</w:t>
      </w:r>
      <w:r w:rsidRPr="004071A6">
        <w:rPr>
          <w:sz w:val="24"/>
          <w:szCs w:val="24"/>
        </w:rPr>
        <w:t xml:space="preserve"> час. </w:t>
      </w:r>
      <w:r w:rsidR="00AA0215">
        <w:rPr>
          <w:sz w:val="24"/>
          <w:szCs w:val="24"/>
        </w:rPr>
        <w:t>30</w:t>
      </w:r>
      <w:r w:rsidRPr="004071A6">
        <w:rPr>
          <w:sz w:val="24"/>
          <w:szCs w:val="24"/>
        </w:rPr>
        <w:t xml:space="preserve"> мин.  «</w:t>
      </w:r>
      <w:r w:rsidR="00AA0215">
        <w:rPr>
          <w:sz w:val="24"/>
          <w:szCs w:val="24"/>
        </w:rPr>
        <w:t>3</w:t>
      </w:r>
      <w:r w:rsidR="00D03C6E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» </w:t>
      </w:r>
      <w:r w:rsidR="00AA0215">
        <w:rPr>
          <w:sz w:val="24"/>
          <w:szCs w:val="24"/>
        </w:rPr>
        <w:t>июня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AA0215">
        <w:rPr>
          <w:sz w:val="24"/>
          <w:szCs w:val="24"/>
        </w:rPr>
        <w:t>16</w:t>
      </w:r>
      <w:r w:rsidRPr="004071A6">
        <w:rPr>
          <w:sz w:val="24"/>
          <w:szCs w:val="24"/>
        </w:rPr>
        <w:t xml:space="preserve">» </w:t>
      </w:r>
      <w:r w:rsidR="00D03C6E">
        <w:rPr>
          <w:sz w:val="24"/>
          <w:szCs w:val="24"/>
        </w:rPr>
        <w:t>ию</w:t>
      </w:r>
      <w:r w:rsidR="00AA0215">
        <w:rPr>
          <w:sz w:val="24"/>
          <w:szCs w:val="24"/>
        </w:rPr>
        <w:t xml:space="preserve">ля </w:t>
      </w:r>
      <w:r w:rsidRPr="004071A6">
        <w:rPr>
          <w:sz w:val="24"/>
          <w:szCs w:val="24"/>
        </w:rPr>
        <w:t>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594F6222" w14:textId="3C9F6F3F" w:rsidR="00C006EA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</w:t>
      </w:r>
      <w:r w:rsidR="00AA0215">
        <w:rPr>
          <w:sz w:val="24"/>
          <w:szCs w:val="24"/>
        </w:rPr>
        <w:t xml:space="preserve"> в порядке убывания значимости:</w:t>
      </w: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587129A0" w14:textId="22C70B7B" w:rsidR="00F9276E" w:rsidRDefault="005D1243" w:rsidP="00AA02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BCFC677" w14:textId="77777777" w:rsidR="005F178C" w:rsidRDefault="005F178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bookmarkStart w:id="130" w:name="_GoBack"/>
    <w:bookmarkEnd w:id="130"/>
    <w:p w14:paraId="334BCCB6" w14:textId="4B77C7C7" w:rsidR="00D111DD" w:rsidRPr="00D111DD" w:rsidRDefault="00AA0215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4D37F7BB">
          <v:shape id="_x0000_i1028" type="#_x0000_t75" style="width:77.25pt;height:49.5pt" o:ole="">
            <v:imagedata r:id="rId14" o:title=""/>
          </v:shape>
          <o:OLEObject Type="Embed" ProgID="Package" ShapeID="_x0000_i1028" DrawAspect="Icon" ObjectID="_1686649871" r:id="rId15"/>
        </w:object>
      </w:r>
    </w:p>
    <w:p w14:paraId="1DF97A98" w14:textId="405596B3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FB07E2" w:rsidRDefault="00FB07E2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FB07E2" w:rsidRDefault="00FB07E2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2C5802C0" w:rsidR="00FB07E2" w:rsidRDefault="00FB07E2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215">
      <w:rPr>
        <w:noProof/>
      </w:rPr>
      <w:t>2</w:t>
    </w:r>
    <w:r>
      <w:rPr>
        <w:noProof/>
      </w:rPr>
      <w:fldChar w:fldCharType="end"/>
    </w:r>
  </w:p>
  <w:p w14:paraId="1ABA5438" w14:textId="77777777" w:rsidR="00FB07E2" w:rsidRDefault="00FB07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FB07E2" w:rsidRDefault="00FB07E2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FB07E2" w:rsidRDefault="00FB07E2" w:rsidP="00B768EC">
      <w:pPr>
        <w:spacing w:line="240" w:lineRule="auto"/>
      </w:pPr>
      <w:r>
        <w:continuationSeparator/>
      </w:r>
    </w:p>
  </w:footnote>
  <w:footnote w:id="1">
    <w:p w14:paraId="238E0BE3" w14:textId="77777777" w:rsidR="00FB07E2" w:rsidRPr="00924719" w:rsidRDefault="00FB07E2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FB07E2" w:rsidRPr="00D86743" w:rsidRDefault="00FB07E2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2075"/>
    <w:rsid w:val="00103636"/>
    <w:rsid w:val="001107C4"/>
    <w:rsid w:val="00110E47"/>
    <w:rsid w:val="00111C4D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D7C48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0B0F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979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32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12EA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178C"/>
    <w:rsid w:val="005F7BA1"/>
    <w:rsid w:val="00601B62"/>
    <w:rsid w:val="006050A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0B3C"/>
    <w:rsid w:val="0099137D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A0215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6DB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6733B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3C6E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07B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76E"/>
    <w:rsid w:val="00F92996"/>
    <w:rsid w:val="00F930CA"/>
    <w:rsid w:val="00FA031B"/>
    <w:rsid w:val="00FA72BA"/>
    <w:rsid w:val="00FB07E2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D678-6290-49B0-B8F6-F53144AE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18</Pages>
  <Words>5937</Words>
  <Characters>33844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39702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50</cp:revision>
  <cp:lastPrinted>2019-03-05T07:45:00Z</cp:lastPrinted>
  <dcterms:created xsi:type="dcterms:W3CDTF">2019-10-15T13:11:00Z</dcterms:created>
  <dcterms:modified xsi:type="dcterms:W3CDTF">2021-07-01T10:05:00Z</dcterms:modified>
</cp:coreProperties>
</file>